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6173D" w14:textId="77777777" w:rsidR="00A50EC4" w:rsidRPr="0002763C" w:rsidRDefault="00A50EC4" w:rsidP="00A50EC4">
      <w:pPr>
        <w:pStyle w:val="Heading1"/>
      </w:pPr>
      <w:r w:rsidRPr="0002763C">
        <w:t xml:space="preserve">Enabler: </w:t>
      </w:r>
      <w:r>
        <w:t>Harnessing w</w:t>
      </w:r>
      <w:r w:rsidRPr="0002763C">
        <w:t>orkforce commitment</w:t>
      </w:r>
    </w:p>
    <w:p w14:paraId="15266EA8" w14:textId="77777777" w:rsidR="00A50EC4" w:rsidRPr="00CF4CD6" w:rsidRDefault="00A50EC4" w:rsidP="00A50EC4">
      <w:pPr>
        <w:pStyle w:val="BodyText"/>
        <w:rPr>
          <w:rFonts w:ascii="Segoe UI" w:hAnsi="Segoe UI" w:cs="Segoe UI"/>
          <w:i/>
          <w:iCs/>
          <w:sz w:val="28"/>
          <w:szCs w:val="28"/>
        </w:rPr>
      </w:pPr>
      <w:r w:rsidRPr="00694A47">
        <w:rPr>
          <w:rFonts w:ascii="Segoe UI" w:hAnsi="Segoe UI" w:cs="Segoe UI"/>
          <w:i/>
          <w:iCs/>
          <w:sz w:val="28"/>
          <w:szCs w:val="28"/>
        </w:rPr>
        <w:t xml:space="preserve">Ambulance Victoria’s workforce is deeply committed to </w:t>
      </w:r>
      <w:r>
        <w:rPr>
          <w:rFonts w:ascii="Segoe UI" w:hAnsi="Segoe UI" w:cs="Segoe UI"/>
          <w:i/>
          <w:iCs/>
          <w:sz w:val="28"/>
          <w:szCs w:val="28"/>
        </w:rPr>
        <w:t>its</w:t>
      </w:r>
      <w:r w:rsidRPr="00694A47">
        <w:rPr>
          <w:rFonts w:ascii="Segoe UI" w:hAnsi="Segoe UI" w:cs="Segoe UI"/>
          <w:i/>
          <w:iCs/>
          <w:sz w:val="28"/>
          <w:szCs w:val="28"/>
        </w:rPr>
        <w:t xml:space="preserve"> work of service to the community. </w:t>
      </w:r>
      <w:r>
        <w:rPr>
          <w:rFonts w:ascii="Segoe UI" w:hAnsi="Segoe UI" w:cs="Segoe UI"/>
          <w:i/>
          <w:iCs/>
          <w:sz w:val="28"/>
          <w:szCs w:val="28"/>
        </w:rPr>
        <w:t>Utilising this commitment through enhanced participation in workplace reforms will better enable Ambulance Victoria to deliver changes that are fit for purpose.</w:t>
      </w:r>
      <w:bookmarkStart w:id="0" w:name="_Toc180489132"/>
    </w:p>
    <w:p w14:paraId="7E6FE14B" w14:textId="77777777" w:rsidR="00A50EC4" w:rsidRPr="006F4BD4" w:rsidRDefault="00A50EC4" w:rsidP="00A50EC4">
      <w:pPr>
        <w:pStyle w:val="Heading2"/>
      </w:pPr>
      <w:r w:rsidRPr="006F4BD4">
        <w:t>Why is this an enabler for reform?</w:t>
      </w:r>
      <w:bookmarkEnd w:id="0"/>
    </w:p>
    <w:p w14:paraId="2522F847" w14:textId="77777777" w:rsidR="00A50EC4" w:rsidRPr="00FA1FBE" w:rsidRDefault="00A50EC4" w:rsidP="00A50EC4">
      <w:pPr>
        <w:pStyle w:val="paragraph"/>
        <w:spacing w:before="0" w:beforeAutospacing="0" w:line="276" w:lineRule="auto"/>
        <w:rPr>
          <w:rFonts w:ascii="Segoe UI" w:eastAsiaTheme="majorEastAsia" w:hAnsi="Segoe UI" w:cs="Segoe UI"/>
          <w:sz w:val="22"/>
          <w:szCs w:val="22"/>
        </w:rPr>
      </w:pPr>
      <w:r w:rsidRPr="00FA1FBE">
        <w:rPr>
          <w:rFonts w:ascii="Segoe UI" w:eastAsiaTheme="majorEastAsia" w:hAnsi="Segoe UI" w:cs="Segoe UI"/>
          <w:sz w:val="22"/>
          <w:szCs w:val="22"/>
        </w:rPr>
        <w:t>Better utilisation of high workforce commitment through improved participation is likely to have flow</w:t>
      </w:r>
      <w:r>
        <w:rPr>
          <w:rFonts w:ascii="Segoe UI" w:eastAsiaTheme="majorEastAsia" w:hAnsi="Segoe UI" w:cs="Segoe UI"/>
          <w:sz w:val="22"/>
          <w:szCs w:val="22"/>
        </w:rPr>
        <w:t>-</w:t>
      </w:r>
      <w:r w:rsidRPr="00FA1FBE">
        <w:rPr>
          <w:rFonts w:ascii="Segoe UI" w:eastAsiaTheme="majorEastAsia" w:hAnsi="Segoe UI" w:cs="Segoe UI"/>
          <w:sz w:val="22"/>
          <w:szCs w:val="22"/>
        </w:rPr>
        <w:t>on benefits for the reforms through increasing the trust and confidence of the workforce that the intent of the reforms will be fully realised and have tangible impacts on people’s day</w:t>
      </w:r>
      <w:r>
        <w:rPr>
          <w:rFonts w:ascii="Segoe UI" w:eastAsiaTheme="majorEastAsia" w:hAnsi="Segoe UI" w:cs="Segoe UI"/>
          <w:sz w:val="22"/>
          <w:szCs w:val="22"/>
        </w:rPr>
        <w:t>-</w:t>
      </w:r>
      <w:r w:rsidRPr="00FA1FBE">
        <w:rPr>
          <w:rFonts w:ascii="Segoe UI" w:eastAsiaTheme="majorEastAsia" w:hAnsi="Segoe UI" w:cs="Segoe UI"/>
          <w:sz w:val="22"/>
          <w:szCs w:val="22"/>
        </w:rPr>
        <w:t>to</w:t>
      </w:r>
      <w:r>
        <w:rPr>
          <w:rFonts w:ascii="Segoe UI" w:eastAsiaTheme="majorEastAsia" w:hAnsi="Segoe UI" w:cs="Segoe UI"/>
          <w:sz w:val="22"/>
          <w:szCs w:val="22"/>
        </w:rPr>
        <w:t>-</w:t>
      </w:r>
      <w:r w:rsidRPr="00FA1FBE">
        <w:rPr>
          <w:rFonts w:ascii="Segoe UI" w:eastAsiaTheme="majorEastAsia" w:hAnsi="Segoe UI" w:cs="Segoe UI"/>
          <w:sz w:val="22"/>
          <w:szCs w:val="22"/>
        </w:rPr>
        <w:t xml:space="preserve">day work. </w:t>
      </w:r>
    </w:p>
    <w:p w14:paraId="499B8359" w14:textId="77777777" w:rsidR="00A50EC4" w:rsidRPr="00A50EC4" w:rsidRDefault="00A50EC4" w:rsidP="00A50EC4">
      <w:pPr>
        <w:pStyle w:val="paragraph"/>
        <w:spacing w:before="0" w:beforeAutospacing="0" w:line="276" w:lineRule="auto"/>
        <w:rPr>
          <w:rFonts w:ascii="Segoe UI" w:eastAsiaTheme="majorEastAsia" w:hAnsi="Segoe UI" w:cs="Segoe UI"/>
          <w:sz w:val="22"/>
          <w:szCs w:val="22"/>
        </w:rPr>
      </w:pPr>
      <w:r w:rsidRPr="00FA1FBE">
        <w:rPr>
          <w:rFonts w:ascii="Segoe UI" w:eastAsiaTheme="majorEastAsia" w:hAnsi="Segoe UI" w:cs="Segoe UI"/>
          <w:sz w:val="22"/>
          <w:szCs w:val="22"/>
        </w:rPr>
        <w:t>Throughout Progress Evaluation Audit data collection, the Commission heard that Ambulance Victoria’s operational and non-operational workforce ha</w:t>
      </w:r>
      <w:r>
        <w:rPr>
          <w:rFonts w:ascii="Segoe UI" w:eastAsiaTheme="majorEastAsia" w:hAnsi="Segoe UI" w:cs="Segoe UI"/>
          <w:sz w:val="22"/>
          <w:szCs w:val="22"/>
        </w:rPr>
        <w:t>s</w:t>
      </w:r>
      <w:r w:rsidRPr="00FA1FBE">
        <w:rPr>
          <w:rFonts w:ascii="Segoe UI" w:eastAsiaTheme="majorEastAsia" w:hAnsi="Segoe UI" w:cs="Segoe UI"/>
          <w:sz w:val="22"/>
          <w:szCs w:val="22"/>
        </w:rPr>
        <w:t xml:space="preserve"> deep commitment to, and derive</w:t>
      </w:r>
      <w:r>
        <w:rPr>
          <w:rFonts w:ascii="Segoe UI" w:eastAsiaTheme="majorEastAsia" w:hAnsi="Segoe UI" w:cs="Segoe UI"/>
          <w:sz w:val="22"/>
          <w:szCs w:val="22"/>
        </w:rPr>
        <w:t>s</w:t>
      </w:r>
      <w:r w:rsidRPr="00FA1FBE">
        <w:rPr>
          <w:rFonts w:ascii="Segoe UI" w:eastAsiaTheme="majorEastAsia" w:hAnsi="Segoe UI" w:cs="Segoe UI"/>
          <w:sz w:val="22"/>
          <w:szCs w:val="22"/>
        </w:rPr>
        <w:t xml:space="preserve"> great personal reward from, performing their roles and being of service to the </w:t>
      </w:r>
      <w:r w:rsidRPr="00A50EC4">
        <w:rPr>
          <w:rFonts w:ascii="Segoe UI" w:eastAsiaTheme="majorEastAsia" w:hAnsi="Segoe UI" w:cs="Segoe UI"/>
          <w:sz w:val="22"/>
          <w:szCs w:val="22"/>
        </w:rPr>
        <w:t>community.</w:t>
      </w:r>
    </w:p>
    <w:p w14:paraId="6E0AD914" w14:textId="01DF61B5" w:rsidR="00A50EC4" w:rsidRPr="00A50EC4" w:rsidRDefault="00A50EC4" w:rsidP="00A50EC4">
      <w:pPr>
        <w:pStyle w:val="Quote"/>
        <w:rPr>
          <w:rFonts w:ascii="Segoe UI" w:hAnsi="Segoe UI" w:cs="Segoe UI"/>
          <w:color w:val="auto"/>
        </w:rPr>
      </w:pPr>
      <w:r w:rsidRPr="00A50EC4">
        <w:rPr>
          <w:rFonts w:ascii="Segoe UI" w:hAnsi="Segoe UI" w:cs="Segoe UI"/>
          <w:color w:val="auto"/>
        </w:rPr>
        <w:t>As a non-operational staff member, I can say I'm honoured/proud to be part of Ambulance Victoria. Every time I see an ambulance in traffic, I proudly say "there goes my people”.</w:t>
      </w:r>
    </w:p>
    <w:p w14:paraId="3136B5C0" w14:textId="77777777" w:rsidR="00A50EC4" w:rsidRPr="00A50EC4" w:rsidRDefault="00A50EC4" w:rsidP="00A50EC4">
      <w:pPr>
        <w:pStyle w:val="Quote"/>
        <w:rPr>
          <w:rFonts w:ascii="Segoe UI" w:hAnsi="Segoe UI" w:cs="Segoe UI"/>
          <w:color w:val="auto"/>
        </w:rPr>
      </w:pPr>
      <w:r w:rsidRPr="00A50EC4">
        <w:rPr>
          <w:rFonts w:ascii="Segoe UI" w:hAnsi="Segoe UI" w:cs="Segoe UI"/>
          <w:color w:val="auto"/>
        </w:rPr>
        <w:t>Participant</w:t>
      </w:r>
    </w:p>
    <w:p w14:paraId="1AE7465E" w14:textId="77777777" w:rsidR="00A50EC4" w:rsidRPr="00A50EC4" w:rsidRDefault="00A50EC4" w:rsidP="00A50EC4">
      <w:pPr>
        <w:pStyle w:val="paragraph"/>
        <w:spacing w:before="0" w:beforeAutospacing="0" w:line="276" w:lineRule="auto"/>
        <w:rPr>
          <w:rFonts w:ascii="Segoe UI" w:eastAsiaTheme="majorEastAsia" w:hAnsi="Segoe UI" w:cs="Segoe UI"/>
          <w:sz w:val="22"/>
          <w:szCs w:val="22"/>
        </w:rPr>
      </w:pPr>
      <w:r w:rsidRPr="005E09FA">
        <w:rPr>
          <w:rFonts w:ascii="Segoe UI" w:eastAsiaTheme="majorEastAsia" w:hAnsi="Segoe UI" w:cs="Segoe UI"/>
          <w:sz w:val="22"/>
          <w:szCs w:val="22"/>
        </w:rPr>
        <w:t xml:space="preserve">Not all organisations have the benefit of a workforce that is so heavily invested in what they </w:t>
      </w:r>
      <w:proofErr w:type="gramStart"/>
      <w:r w:rsidRPr="005E09FA">
        <w:rPr>
          <w:rFonts w:ascii="Segoe UI" w:eastAsiaTheme="majorEastAsia" w:hAnsi="Segoe UI" w:cs="Segoe UI"/>
          <w:sz w:val="22"/>
          <w:szCs w:val="22"/>
        </w:rPr>
        <w:t>do</w:t>
      </w:r>
      <w:proofErr w:type="gramEnd"/>
      <w:r w:rsidRPr="005E09FA">
        <w:rPr>
          <w:rFonts w:ascii="Segoe UI" w:eastAsiaTheme="majorEastAsia" w:hAnsi="Segoe UI" w:cs="Segoe UI"/>
          <w:sz w:val="22"/>
          <w:szCs w:val="22"/>
        </w:rPr>
        <w:t xml:space="preserve"> and this can bring unintended consequences. The Commission heard that this commitment appear</w:t>
      </w:r>
      <w:r>
        <w:rPr>
          <w:rFonts w:ascii="Segoe UI" w:eastAsiaTheme="majorEastAsia" w:hAnsi="Segoe UI" w:cs="Segoe UI"/>
          <w:sz w:val="22"/>
          <w:szCs w:val="22"/>
        </w:rPr>
        <w:t>s</w:t>
      </w:r>
      <w:r w:rsidRPr="005E09FA">
        <w:rPr>
          <w:rFonts w:ascii="Segoe UI" w:eastAsiaTheme="majorEastAsia" w:hAnsi="Segoe UI" w:cs="Segoe UI"/>
          <w:sz w:val="22"/>
          <w:szCs w:val="22"/>
        </w:rPr>
        <w:t xml:space="preserve"> to be taken for granted or used as a reason not to change ways of </w:t>
      </w:r>
      <w:r w:rsidRPr="00A50EC4">
        <w:rPr>
          <w:rFonts w:ascii="Segoe UI" w:eastAsiaTheme="majorEastAsia" w:hAnsi="Segoe UI" w:cs="Segoe UI"/>
          <w:sz w:val="22"/>
          <w:szCs w:val="22"/>
        </w:rPr>
        <w:t xml:space="preserve">working. </w:t>
      </w:r>
    </w:p>
    <w:p w14:paraId="35833FCB" w14:textId="19BD13A5" w:rsidR="00A50EC4" w:rsidRPr="00A50EC4" w:rsidRDefault="00A50EC4" w:rsidP="00A50EC4">
      <w:pPr>
        <w:pStyle w:val="Quote"/>
        <w:rPr>
          <w:rFonts w:ascii="Segoe UI" w:hAnsi="Segoe UI" w:cs="Segoe UI"/>
          <w:color w:val="auto"/>
        </w:rPr>
      </w:pPr>
      <w:r w:rsidRPr="00A50EC4">
        <w:rPr>
          <w:rFonts w:ascii="Segoe UI" w:hAnsi="Segoe UI" w:cs="Segoe UI"/>
          <w:color w:val="auto"/>
        </w:rPr>
        <w:t>I had a [senior leader] say to me if the blue shirts don't like it, they know where the door is. There are a line of people waiting to take their job.</w:t>
      </w:r>
    </w:p>
    <w:p w14:paraId="073318B4" w14:textId="77777777" w:rsidR="00A50EC4" w:rsidRPr="00A50EC4" w:rsidRDefault="00A50EC4" w:rsidP="00A50EC4">
      <w:pPr>
        <w:pStyle w:val="Quote"/>
        <w:rPr>
          <w:rFonts w:ascii="Segoe UI" w:hAnsi="Segoe UI" w:cs="Segoe UI"/>
          <w:color w:val="auto"/>
        </w:rPr>
      </w:pPr>
      <w:r w:rsidRPr="00A50EC4">
        <w:rPr>
          <w:rFonts w:ascii="Segoe UI" w:hAnsi="Segoe UI" w:cs="Segoe UI"/>
          <w:color w:val="auto"/>
        </w:rPr>
        <w:t>Participant</w:t>
      </w:r>
    </w:p>
    <w:p w14:paraId="4E476F95" w14:textId="77777777" w:rsidR="00A50EC4" w:rsidRPr="006F4BD4" w:rsidRDefault="00A50EC4" w:rsidP="00A50EC4">
      <w:pPr>
        <w:pStyle w:val="Heading2"/>
      </w:pPr>
      <w:r w:rsidRPr="006F4BD4">
        <w:t>What are the impacts of this reform enabler for implementing the Review recommendations?</w:t>
      </w:r>
    </w:p>
    <w:p w14:paraId="259077D4" w14:textId="77777777" w:rsidR="00A50EC4" w:rsidRPr="00085E10" w:rsidRDefault="00A50EC4" w:rsidP="00A50EC4">
      <w:pPr>
        <w:pStyle w:val="paragraph"/>
        <w:spacing w:before="0" w:beforeAutospacing="0" w:line="276" w:lineRule="auto"/>
        <w:rPr>
          <w:rFonts w:ascii="Segoe UI" w:eastAsiaTheme="majorEastAsia" w:hAnsi="Segoe UI" w:cs="Segoe UI"/>
          <w:sz w:val="22"/>
          <w:szCs w:val="22"/>
        </w:rPr>
      </w:pPr>
      <w:r w:rsidRPr="00085E10">
        <w:rPr>
          <w:rFonts w:ascii="Segoe UI" w:eastAsiaTheme="majorEastAsia" w:hAnsi="Segoe UI" w:cs="Segoe UI"/>
          <w:sz w:val="22"/>
          <w:szCs w:val="22"/>
        </w:rPr>
        <w:t>Harnessing this workforce commitment through enhanced opportunities for the workforce to contribute to shaping reforms would better enable Ambulance Victoria to implement the following recommendations:</w:t>
      </w:r>
    </w:p>
    <w:p w14:paraId="3251CB8B" w14:textId="77777777" w:rsidR="00A50EC4" w:rsidRPr="00A50EC4" w:rsidRDefault="00A50EC4" w:rsidP="00A50EC4">
      <w:pPr>
        <w:pStyle w:val="ListParagraph"/>
        <w:numPr>
          <w:ilvl w:val="0"/>
          <w:numId w:val="1"/>
        </w:numPr>
        <w:spacing w:line="276" w:lineRule="auto"/>
        <w:rPr>
          <w:rFonts w:ascii="Segoe UI" w:hAnsi="Segoe UI" w:cs="Segoe UI"/>
        </w:rPr>
      </w:pPr>
      <w:r w:rsidRPr="00A50EC4">
        <w:rPr>
          <w:rFonts w:ascii="Segoe UI" w:hAnsi="Segoe UI" w:cs="Segoe UI"/>
        </w:rPr>
        <w:t xml:space="preserve">Recommendation 1: Learning through reflective practice and 41: Board learning through reflective practice: Implementing reflective practice across the organisation could be </w:t>
      </w:r>
      <w:r w:rsidRPr="00A50EC4">
        <w:rPr>
          <w:rFonts w:ascii="Segoe UI" w:hAnsi="Segoe UI" w:cs="Segoe UI"/>
        </w:rPr>
        <w:lastRenderedPageBreak/>
        <w:t>better enabled through participatory approaches that acknowledge and positively utilise the workforce’s commitment.</w:t>
      </w:r>
    </w:p>
    <w:p w14:paraId="06FA70EF" w14:textId="77777777" w:rsidR="00A50EC4" w:rsidRPr="00A50EC4" w:rsidRDefault="00A50EC4" w:rsidP="00A50EC4">
      <w:pPr>
        <w:pStyle w:val="ListParagraph"/>
        <w:numPr>
          <w:ilvl w:val="0"/>
          <w:numId w:val="1"/>
        </w:numPr>
        <w:spacing w:line="276" w:lineRule="auto"/>
        <w:rPr>
          <w:rFonts w:ascii="Segoe UI" w:hAnsi="Segoe UI" w:cs="Segoe UI"/>
        </w:rPr>
      </w:pPr>
      <w:r w:rsidRPr="00A50EC4">
        <w:rPr>
          <w:rFonts w:ascii="Segoe UI" w:hAnsi="Segoe UI" w:cs="Segoe UI"/>
        </w:rPr>
        <w:t>Recommendation 42: Organisational healing and cultural change through reflective practice: Delivering cultural change and healing could be better enabled through encouraging shared responsibility for reforms so they become everyone’s responsibility.</w:t>
      </w:r>
    </w:p>
    <w:p w14:paraId="50CB47B5" w14:textId="77777777" w:rsidR="00A50EC4" w:rsidRPr="00A50EC4" w:rsidRDefault="00A50EC4" w:rsidP="00A50EC4">
      <w:pPr>
        <w:pStyle w:val="ListParagraph"/>
        <w:numPr>
          <w:ilvl w:val="0"/>
          <w:numId w:val="1"/>
        </w:numPr>
        <w:spacing w:line="276" w:lineRule="auto"/>
        <w:rPr>
          <w:rFonts w:ascii="Segoe UI" w:hAnsi="Segoe UI" w:cs="Segoe UI"/>
        </w:rPr>
      </w:pPr>
      <w:r w:rsidRPr="00A50EC4">
        <w:rPr>
          <w:rFonts w:ascii="Segoe UI" w:hAnsi="Segoe UI" w:cs="Segoe UI"/>
        </w:rPr>
        <w:t>Recommendation 20: Understanding how the report and complaint system is working: Engaging staff and sharing responsibility to track progress could positively influence reform in areas such as complaint benchmark development.</w:t>
      </w:r>
    </w:p>
    <w:p w14:paraId="218ABE27" w14:textId="77777777" w:rsidR="00A50EC4" w:rsidRPr="00694A47" w:rsidRDefault="00A50EC4" w:rsidP="00A50EC4">
      <w:pPr>
        <w:pStyle w:val="ListParagraph"/>
        <w:numPr>
          <w:ilvl w:val="0"/>
          <w:numId w:val="1"/>
        </w:numPr>
        <w:spacing w:line="276" w:lineRule="auto"/>
        <w:rPr>
          <w:rFonts w:ascii="Segoe UI" w:hAnsi="Segoe UI" w:cs="Segoe UI"/>
        </w:rPr>
      </w:pPr>
      <w:r w:rsidRPr="00A50EC4">
        <w:rPr>
          <w:rFonts w:ascii="Segoe UI" w:hAnsi="Segoe UI" w:cs="Segoe UI"/>
        </w:rPr>
        <w:t xml:space="preserve">Recommendation 9: Contact officers and local </w:t>
      </w:r>
      <w:proofErr w:type="gramStart"/>
      <w:r w:rsidRPr="00A50EC4">
        <w:rPr>
          <w:rFonts w:ascii="Segoe UI" w:hAnsi="Segoe UI" w:cs="Segoe UI"/>
        </w:rPr>
        <w:t>champions</w:t>
      </w:r>
      <w:proofErr w:type="gramEnd"/>
      <w:r w:rsidRPr="00A50EC4">
        <w:rPr>
          <w:rFonts w:ascii="Segoe UI" w:hAnsi="Segoe UI" w:cs="Segoe UI"/>
        </w:rPr>
        <w:t xml:space="preserve"> network: Contact</w:t>
      </w:r>
      <w:r w:rsidRPr="00964A90">
        <w:rPr>
          <w:rFonts w:ascii="Segoe UI" w:hAnsi="Segoe UI" w:cs="Segoe UI"/>
        </w:rPr>
        <w:t xml:space="preserve"> officers and local champions networks enhanc</w:t>
      </w:r>
      <w:r>
        <w:rPr>
          <w:rFonts w:ascii="Segoe UI" w:hAnsi="Segoe UI" w:cs="Segoe UI"/>
        </w:rPr>
        <w:t>e</w:t>
      </w:r>
      <w:r w:rsidRPr="00964A90">
        <w:rPr>
          <w:rFonts w:ascii="Segoe UI" w:hAnsi="Segoe UI" w:cs="Segoe UI"/>
        </w:rPr>
        <w:t xml:space="preserve"> and model workforce commitment</w:t>
      </w:r>
      <w:r>
        <w:rPr>
          <w:rFonts w:ascii="Segoe UI" w:hAnsi="Segoe UI" w:cs="Segoe UI"/>
        </w:rPr>
        <w:t xml:space="preserve">, and could help to ensure that Ambulance Victoria’s </w:t>
      </w:r>
      <w:r w:rsidRPr="00964A90">
        <w:rPr>
          <w:rFonts w:ascii="Segoe UI" w:hAnsi="Segoe UI" w:cs="Segoe UI"/>
        </w:rPr>
        <w:t xml:space="preserve">high workforce commitment is harnessed </w:t>
      </w:r>
      <w:r>
        <w:rPr>
          <w:rFonts w:ascii="Segoe UI" w:hAnsi="Segoe UI" w:cs="Segoe UI"/>
        </w:rPr>
        <w:t xml:space="preserve">through </w:t>
      </w:r>
      <w:r w:rsidRPr="00964A90">
        <w:rPr>
          <w:rFonts w:ascii="Segoe UI" w:hAnsi="Segoe UI" w:cs="Segoe UI"/>
        </w:rPr>
        <w:t xml:space="preserve">improved participation. </w:t>
      </w:r>
      <w:r>
        <w:rPr>
          <w:rFonts w:ascii="Segoe UI" w:hAnsi="Segoe UI" w:cs="Segoe UI"/>
        </w:rPr>
        <w:t>L</w:t>
      </w:r>
      <w:r w:rsidRPr="00964A90">
        <w:rPr>
          <w:rFonts w:ascii="Segoe UI" w:hAnsi="Segoe UI" w:cs="Segoe UI"/>
        </w:rPr>
        <w:t xml:space="preserve">everaging the trust and influence </w:t>
      </w:r>
      <w:r>
        <w:rPr>
          <w:rFonts w:ascii="Segoe UI" w:hAnsi="Segoe UI" w:cs="Segoe UI"/>
        </w:rPr>
        <w:t>of contact officers and local champions</w:t>
      </w:r>
      <w:r w:rsidRPr="00964A90">
        <w:rPr>
          <w:rFonts w:ascii="Segoe UI" w:hAnsi="Segoe UI" w:cs="Segoe UI"/>
        </w:rPr>
        <w:t xml:space="preserve"> </w:t>
      </w:r>
      <w:r>
        <w:rPr>
          <w:rFonts w:ascii="Segoe UI" w:hAnsi="Segoe UI" w:cs="Segoe UI"/>
        </w:rPr>
        <w:t>could</w:t>
      </w:r>
      <w:r w:rsidRPr="00964A90">
        <w:rPr>
          <w:rFonts w:ascii="Segoe UI" w:hAnsi="Segoe UI" w:cs="Segoe UI"/>
        </w:rPr>
        <w:t xml:space="preserve"> help bridge the gap between leadership and the workforce. </w:t>
      </w:r>
    </w:p>
    <w:p w14:paraId="62AD9803" w14:textId="77777777" w:rsidR="00A50EC4" w:rsidRPr="00085E10" w:rsidRDefault="00A50EC4" w:rsidP="00A50EC4">
      <w:pPr>
        <w:pStyle w:val="paragraph"/>
        <w:spacing w:before="0" w:beforeAutospacing="0" w:line="276" w:lineRule="auto"/>
        <w:rPr>
          <w:rFonts w:ascii="Segoe UI" w:eastAsiaTheme="majorEastAsia" w:hAnsi="Segoe UI" w:cs="Segoe UI"/>
          <w:sz w:val="22"/>
          <w:szCs w:val="22"/>
        </w:rPr>
      </w:pPr>
      <w:r w:rsidRPr="00085E10">
        <w:rPr>
          <w:rFonts w:ascii="Segoe UI" w:eastAsiaTheme="majorEastAsia" w:hAnsi="Segoe UI" w:cs="Segoe UI"/>
          <w:sz w:val="22"/>
          <w:szCs w:val="22"/>
        </w:rPr>
        <w:t>Select the links above for further information on how this barrier is impacting recommendation implementation.</w:t>
      </w:r>
    </w:p>
    <w:p w14:paraId="38AD8D9F" w14:textId="77777777" w:rsidR="00A50EC4" w:rsidRPr="006F4BD4" w:rsidRDefault="00A50EC4" w:rsidP="00A50EC4">
      <w:pPr>
        <w:pStyle w:val="Heading2"/>
      </w:pPr>
      <w:r w:rsidRPr="006F4BD4">
        <w:t>What are the impacts of harnessing this reform enabler for the Ambulance Victoria workforce?</w:t>
      </w:r>
    </w:p>
    <w:p w14:paraId="751EE121" w14:textId="77777777" w:rsidR="00A50EC4" w:rsidRPr="00BD7B11" w:rsidRDefault="00A50EC4" w:rsidP="00A50EC4">
      <w:pPr>
        <w:pStyle w:val="Heading3"/>
      </w:pPr>
      <w:r w:rsidRPr="00BD7B11">
        <w:t>Meaningful engagement with Ambulance Victoria’s highly committed workforce can improve trust and confidence</w:t>
      </w:r>
    </w:p>
    <w:p w14:paraId="3CAF9D0F" w14:textId="77777777" w:rsidR="00A50EC4" w:rsidRPr="00A50EC4" w:rsidRDefault="00A50EC4" w:rsidP="00A50EC4">
      <w:pPr>
        <w:pStyle w:val="paragraph"/>
        <w:spacing w:before="0" w:beforeAutospacing="0" w:line="276" w:lineRule="auto"/>
        <w:rPr>
          <w:rFonts w:ascii="Segoe UI" w:eastAsiaTheme="majorEastAsia" w:hAnsi="Segoe UI" w:cs="Segoe UI"/>
          <w:sz w:val="22"/>
          <w:szCs w:val="22"/>
        </w:rPr>
      </w:pPr>
      <w:r w:rsidRPr="00085E10">
        <w:rPr>
          <w:rFonts w:ascii="Segoe UI" w:eastAsiaTheme="majorEastAsia" w:hAnsi="Segoe UI" w:cs="Segoe UI"/>
          <w:sz w:val="22"/>
          <w:szCs w:val="22"/>
        </w:rPr>
        <w:t>During the Progress Evaluation Audit, the Commission heard that Ambulance Victoria’s workforce feels unheard and that there is a disconnect between senior leaders and the rest of the workforce. This, along with a lack of trust that the reforms will be implemented, is contributing to a sense of workforce change fatigue and disengagement. Lack of employee involvement and participation in change is a known barrier to successful organisational change.</w:t>
      </w:r>
      <w:r w:rsidRPr="00F405BC">
        <w:rPr>
          <w:rFonts w:ascii="Segoe UI" w:eastAsiaTheme="majorEastAsia" w:hAnsi="Segoe UI" w:cs="Segoe UI"/>
          <w:sz w:val="22"/>
          <w:szCs w:val="22"/>
          <w:vertAlign w:val="superscript"/>
        </w:rPr>
        <w:footnoteReference w:id="1"/>
      </w:r>
      <w:r w:rsidRPr="00085E10">
        <w:rPr>
          <w:rFonts w:ascii="Segoe UI" w:eastAsiaTheme="majorEastAsia" w:hAnsi="Segoe UI" w:cs="Segoe UI"/>
          <w:sz w:val="22"/>
          <w:szCs w:val="22"/>
        </w:rPr>
        <w:t xml:space="preserve"> Progress Evaluation Audit workforce results showed the same pattern, with only 14% of respondents reporting that they agreed that Ambulance Victoria listens to the views of employees and first responders about ideas for changes to the workplace to reduce and prevent unlawful and harmful conduct</w:t>
      </w:r>
      <w:r>
        <w:rPr>
          <w:rFonts w:ascii="Segoe UI" w:eastAsiaTheme="majorEastAsia" w:hAnsi="Segoe UI" w:cs="Segoe UI"/>
          <w:sz w:val="22"/>
          <w:szCs w:val="22"/>
        </w:rPr>
        <w:t>;</w:t>
      </w:r>
      <w:r w:rsidRPr="00085E10">
        <w:rPr>
          <w:rFonts w:ascii="Segoe UI" w:eastAsiaTheme="majorEastAsia" w:hAnsi="Segoe UI" w:cs="Segoe UI"/>
          <w:sz w:val="22"/>
          <w:szCs w:val="22"/>
        </w:rPr>
        <w:t xml:space="preserve"> 65% disagreed with this statement. This point in Ambulance Victoria’s reform journey presents an opportunity for the organisation to reconsider how it can meaningfully improve the way it engages its workforce in </w:t>
      </w:r>
      <w:r w:rsidRPr="00A50EC4">
        <w:rPr>
          <w:rFonts w:ascii="Segoe UI" w:eastAsiaTheme="majorEastAsia" w:hAnsi="Segoe UI" w:cs="Segoe UI"/>
          <w:sz w:val="22"/>
          <w:szCs w:val="22"/>
        </w:rPr>
        <w:t>implementation.</w:t>
      </w:r>
    </w:p>
    <w:p w14:paraId="38291BD8" w14:textId="32E99EA0" w:rsidR="00A50EC4" w:rsidRPr="00A50EC4" w:rsidRDefault="00A50EC4" w:rsidP="00A50EC4">
      <w:pPr>
        <w:pStyle w:val="Quote"/>
        <w:rPr>
          <w:rFonts w:ascii="Segoe UI" w:hAnsi="Segoe UI" w:cs="Segoe UI"/>
          <w:color w:val="auto"/>
        </w:rPr>
      </w:pPr>
      <w:r w:rsidRPr="00A50EC4">
        <w:rPr>
          <w:rFonts w:ascii="Segoe UI" w:hAnsi="Segoe UI" w:cs="Segoe UI"/>
          <w:color w:val="auto"/>
        </w:rPr>
        <w:t xml:space="preserve">I think it's kind of interesting to me that the workforce, when I sit down and talk to them, they don't see the Staff Reference Group at all. They don't see any sort of action by the workplace. They don't see the Executive doing anything positive in this space. And yet there is still an </w:t>
      </w:r>
      <w:r w:rsidRPr="00A50EC4">
        <w:rPr>
          <w:rFonts w:ascii="Segoe UI" w:hAnsi="Segoe UI" w:cs="Segoe UI"/>
          <w:color w:val="auto"/>
        </w:rPr>
        <w:lastRenderedPageBreak/>
        <w:t xml:space="preserve">underlying feeling from within the workforce that there is something positive to be had </w:t>
      </w:r>
      <w:proofErr w:type="gramStart"/>
      <w:r w:rsidRPr="00A50EC4">
        <w:rPr>
          <w:rFonts w:ascii="Segoe UI" w:hAnsi="Segoe UI" w:cs="Segoe UI"/>
          <w:color w:val="auto"/>
        </w:rPr>
        <w:t>as a result of</w:t>
      </w:r>
      <w:proofErr w:type="gramEnd"/>
      <w:r w:rsidRPr="00A50EC4">
        <w:rPr>
          <w:rFonts w:ascii="Segoe UI" w:hAnsi="Segoe UI" w:cs="Segoe UI"/>
          <w:color w:val="auto"/>
        </w:rPr>
        <w:t xml:space="preserve"> the VEOHRC report.</w:t>
      </w:r>
    </w:p>
    <w:p w14:paraId="1C1E0DAE" w14:textId="77777777" w:rsidR="00A50EC4" w:rsidRPr="00A50EC4" w:rsidRDefault="00A50EC4" w:rsidP="00A50EC4">
      <w:pPr>
        <w:pStyle w:val="Quote"/>
        <w:rPr>
          <w:rFonts w:ascii="Segoe UI" w:hAnsi="Segoe UI" w:cs="Segoe UI"/>
          <w:color w:val="auto"/>
        </w:rPr>
      </w:pPr>
      <w:r w:rsidRPr="00A50EC4">
        <w:rPr>
          <w:rFonts w:ascii="Segoe UI" w:hAnsi="Segoe UI" w:cs="Segoe UI"/>
          <w:color w:val="auto"/>
        </w:rPr>
        <w:t>Participant</w:t>
      </w:r>
    </w:p>
    <w:p w14:paraId="47FF8861" w14:textId="77777777" w:rsidR="00A50EC4" w:rsidRPr="00BD7B11" w:rsidRDefault="00A50EC4" w:rsidP="00A50EC4">
      <w:pPr>
        <w:pStyle w:val="Heading3"/>
      </w:pPr>
      <w:r w:rsidRPr="00BD7B11">
        <w:t>Participatory approaches will enhance workforce input into organisational decision-making and deliver better reform outcomes</w:t>
      </w:r>
    </w:p>
    <w:p w14:paraId="311FC59C" w14:textId="77777777" w:rsidR="00A50EC4" w:rsidRPr="004B7C6F" w:rsidRDefault="00A50EC4" w:rsidP="00A50EC4">
      <w:pPr>
        <w:pStyle w:val="paragraph"/>
        <w:spacing w:before="0" w:beforeAutospacing="0" w:line="276" w:lineRule="auto"/>
        <w:rPr>
          <w:rFonts w:ascii="Segoe UI" w:eastAsiaTheme="majorEastAsia" w:hAnsi="Segoe UI" w:cs="Segoe UI"/>
          <w:sz w:val="22"/>
          <w:szCs w:val="22"/>
        </w:rPr>
      </w:pPr>
      <w:r w:rsidRPr="004B7C6F">
        <w:rPr>
          <w:rFonts w:ascii="Segoe UI" w:eastAsiaTheme="majorEastAsia" w:hAnsi="Segoe UI" w:cs="Segoe UI"/>
          <w:sz w:val="22"/>
          <w:szCs w:val="22"/>
        </w:rPr>
        <w:t xml:space="preserve">Through existing governance mechanisms (including the </w:t>
      </w:r>
      <w:r>
        <w:rPr>
          <w:rFonts w:ascii="Segoe UI" w:eastAsiaTheme="majorEastAsia" w:hAnsi="Segoe UI" w:cs="Segoe UI"/>
          <w:sz w:val="22"/>
          <w:szCs w:val="22"/>
        </w:rPr>
        <w:t>S</w:t>
      </w:r>
      <w:r w:rsidRPr="004B7C6F">
        <w:rPr>
          <w:rFonts w:ascii="Segoe UI" w:eastAsiaTheme="majorEastAsia" w:hAnsi="Segoe UI" w:cs="Segoe UI"/>
          <w:sz w:val="22"/>
          <w:szCs w:val="22"/>
        </w:rPr>
        <w:t xml:space="preserve">taff </w:t>
      </w:r>
      <w:r>
        <w:rPr>
          <w:rFonts w:ascii="Segoe UI" w:eastAsiaTheme="majorEastAsia" w:hAnsi="Segoe UI" w:cs="Segoe UI"/>
          <w:sz w:val="22"/>
          <w:szCs w:val="22"/>
        </w:rPr>
        <w:t>R</w:t>
      </w:r>
      <w:r w:rsidRPr="004B7C6F">
        <w:rPr>
          <w:rFonts w:ascii="Segoe UI" w:eastAsiaTheme="majorEastAsia" w:hAnsi="Segoe UI" w:cs="Segoe UI"/>
          <w:sz w:val="22"/>
          <w:szCs w:val="22"/>
        </w:rPr>
        <w:t xml:space="preserve">eference </w:t>
      </w:r>
      <w:r>
        <w:rPr>
          <w:rFonts w:ascii="Segoe UI" w:eastAsiaTheme="majorEastAsia" w:hAnsi="Segoe UI" w:cs="Segoe UI"/>
          <w:sz w:val="22"/>
          <w:szCs w:val="22"/>
        </w:rPr>
        <w:t>G</w:t>
      </w:r>
      <w:r w:rsidRPr="004B7C6F">
        <w:rPr>
          <w:rFonts w:ascii="Segoe UI" w:eastAsiaTheme="majorEastAsia" w:hAnsi="Segoe UI" w:cs="Segoe UI"/>
          <w:sz w:val="22"/>
          <w:szCs w:val="22"/>
        </w:rPr>
        <w:t xml:space="preserve">roup) or new participatory approaches, Ambulance Victoria could improve collaboration with the main beneficiaries of implementation activities </w:t>
      </w:r>
      <w:r>
        <w:rPr>
          <w:rFonts w:ascii="Segoe UI" w:eastAsiaTheme="majorEastAsia" w:hAnsi="Segoe UI" w:cs="Segoe UI"/>
          <w:sz w:val="22"/>
          <w:szCs w:val="22"/>
        </w:rPr>
        <w:t>–</w:t>
      </w:r>
      <w:r w:rsidRPr="004B7C6F">
        <w:rPr>
          <w:rFonts w:ascii="Segoe UI" w:eastAsiaTheme="majorEastAsia" w:hAnsi="Segoe UI" w:cs="Segoe UI"/>
          <w:sz w:val="22"/>
          <w:szCs w:val="22"/>
        </w:rPr>
        <w:t xml:space="preserve"> the workforce.</w:t>
      </w:r>
    </w:p>
    <w:p w14:paraId="2AECB961" w14:textId="77777777" w:rsidR="00A50EC4" w:rsidRPr="00A50EC4" w:rsidRDefault="00A50EC4" w:rsidP="00A50EC4">
      <w:pPr>
        <w:pStyle w:val="paragraph"/>
        <w:spacing w:before="0" w:beforeAutospacing="0" w:line="276" w:lineRule="auto"/>
        <w:rPr>
          <w:rFonts w:ascii="Segoe UI" w:hAnsi="Segoe UI" w:cs="Segoe UI"/>
          <w:sz w:val="22"/>
          <w:szCs w:val="22"/>
        </w:rPr>
      </w:pPr>
      <w:r w:rsidRPr="004B7C6F">
        <w:rPr>
          <w:rFonts w:ascii="Segoe UI" w:hAnsi="Segoe UI" w:cs="Segoe UI"/>
          <w:sz w:val="22"/>
          <w:szCs w:val="22"/>
        </w:rPr>
        <w:t xml:space="preserve">The </w:t>
      </w:r>
      <w:r w:rsidRPr="004B7C6F">
        <w:rPr>
          <w:rFonts w:ascii="Segoe UI" w:eastAsiaTheme="majorEastAsia" w:hAnsi="Segoe UI" w:cs="Segoe UI"/>
          <w:sz w:val="22"/>
          <w:szCs w:val="22"/>
        </w:rPr>
        <w:t>Victorian</w:t>
      </w:r>
      <w:r w:rsidRPr="004B7C6F">
        <w:rPr>
          <w:rFonts w:ascii="Segoe UI" w:hAnsi="Segoe UI" w:cs="Segoe UI"/>
          <w:sz w:val="22"/>
          <w:szCs w:val="22"/>
        </w:rPr>
        <w:t xml:space="preserve"> Public Sector Commission Innovation Network defines participatory approaches as ‘planning, designing, implementing and evaluating with people who are affected by the products, policies, services and systems we are designing. Using participatory approaches means progressing beyond traditional stakeholder engagement activities such as informing or consulting – moving from </w:t>
      </w:r>
      <w:r>
        <w:rPr>
          <w:rFonts w:ascii="Segoe UI" w:hAnsi="Segoe UI" w:cs="Segoe UI"/>
          <w:sz w:val="22"/>
          <w:szCs w:val="22"/>
        </w:rPr>
        <w:t>“</w:t>
      </w:r>
      <w:r w:rsidRPr="004B7C6F">
        <w:rPr>
          <w:rFonts w:ascii="Segoe UI" w:hAnsi="Segoe UI" w:cs="Segoe UI"/>
          <w:sz w:val="22"/>
          <w:szCs w:val="22"/>
        </w:rPr>
        <w:t>doing to</w:t>
      </w:r>
      <w:r>
        <w:rPr>
          <w:rFonts w:ascii="Segoe UI" w:hAnsi="Segoe UI" w:cs="Segoe UI"/>
          <w:sz w:val="22"/>
          <w:szCs w:val="22"/>
        </w:rPr>
        <w:t>”</w:t>
      </w:r>
      <w:r w:rsidRPr="004B7C6F">
        <w:rPr>
          <w:rFonts w:ascii="Segoe UI" w:hAnsi="Segoe UI" w:cs="Segoe UI"/>
          <w:sz w:val="22"/>
          <w:szCs w:val="22"/>
        </w:rPr>
        <w:t xml:space="preserve"> and </w:t>
      </w:r>
      <w:r>
        <w:rPr>
          <w:rFonts w:ascii="Segoe UI" w:hAnsi="Segoe UI" w:cs="Segoe UI"/>
          <w:sz w:val="22"/>
          <w:szCs w:val="22"/>
        </w:rPr>
        <w:t>“</w:t>
      </w:r>
      <w:r w:rsidRPr="004B7C6F">
        <w:rPr>
          <w:rFonts w:ascii="Segoe UI" w:hAnsi="Segoe UI" w:cs="Segoe UI"/>
          <w:sz w:val="22"/>
          <w:szCs w:val="22"/>
        </w:rPr>
        <w:t>doing for</w:t>
      </w:r>
      <w:r>
        <w:rPr>
          <w:rFonts w:ascii="Segoe UI" w:hAnsi="Segoe UI" w:cs="Segoe UI"/>
          <w:sz w:val="22"/>
          <w:szCs w:val="22"/>
        </w:rPr>
        <w:t>”</w:t>
      </w:r>
      <w:r w:rsidRPr="004B7C6F">
        <w:rPr>
          <w:rFonts w:ascii="Segoe UI" w:hAnsi="Segoe UI" w:cs="Segoe UI"/>
          <w:sz w:val="22"/>
          <w:szCs w:val="22"/>
        </w:rPr>
        <w:t xml:space="preserve"> into the </w:t>
      </w:r>
      <w:r>
        <w:rPr>
          <w:rFonts w:ascii="Segoe UI" w:hAnsi="Segoe UI" w:cs="Segoe UI"/>
          <w:sz w:val="22"/>
          <w:szCs w:val="22"/>
        </w:rPr>
        <w:t>“</w:t>
      </w:r>
      <w:r w:rsidRPr="004B7C6F">
        <w:rPr>
          <w:rFonts w:ascii="Segoe UI" w:hAnsi="Segoe UI" w:cs="Segoe UI"/>
          <w:sz w:val="22"/>
          <w:szCs w:val="22"/>
        </w:rPr>
        <w:t>doing with</w:t>
      </w:r>
      <w:r>
        <w:rPr>
          <w:rFonts w:ascii="Segoe UI" w:hAnsi="Segoe UI" w:cs="Segoe UI"/>
          <w:sz w:val="22"/>
          <w:szCs w:val="22"/>
        </w:rPr>
        <w:t>”</w:t>
      </w:r>
      <w:r w:rsidRPr="004B7C6F">
        <w:rPr>
          <w:rFonts w:ascii="Segoe UI" w:hAnsi="Segoe UI" w:cs="Segoe UI"/>
          <w:sz w:val="22"/>
          <w:szCs w:val="22"/>
        </w:rPr>
        <w:t xml:space="preserve"> space</w:t>
      </w:r>
      <w:r>
        <w:rPr>
          <w:rFonts w:ascii="Segoe UI" w:hAnsi="Segoe UI" w:cs="Segoe UI"/>
          <w:sz w:val="22"/>
          <w:szCs w:val="22"/>
        </w:rPr>
        <w:t>’</w:t>
      </w:r>
      <w:r w:rsidRPr="004B7C6F">
        <w:rPr>
          <w:rFonts w:ascii="Segoe UI" w:hAnsi="Segoe UI" w:cs="Segoe UI"/>
          <w:sz w:val="22"/>
          <w:szCs w:val="22"/>
        </w:rPr>
        <w:t>.</w:t>
      </w:r>
      <w:r w:rsidRPr="004B7C6F">
        <w:rPr>
          <w:rStyle w:val="FootnoteReference"/>
          <w:rFonts w:ascii="Segoe UI" w:hAnsi="Segoe UI" w:cs="Segoe UI"/>
          <w:sz w:val="22"/>
          <w:szCs w:val="22"/>
        </w:rPr>
        <w:footnoteReference w:id="2"/>
      </w:r>
      <w:r w:rsidRPr="004B7C6F">
        <w:rPr>
          <w:rFonts w:ascii="Segoe UI" w:hAnsi="Segoe UI" w:cs="Segoe UI"/>
          <w:sz w:val="22"/>
          <w:szCs w:val="22"/>
        </w:rPr>
        <w:t xml:space="preserve"> There is an opportunity for Ambulance Victoria’s workforce to be more influential in decisions that affect their workplace, so that their input can help to shape better reform </w:t>
      </w:r>
      <w:r w:rsidRPr="00A50EC4">
        <w:rPr>
          <w:rFonts w:ascii="Segoe UI" w:hAnsi="Segoe UI" w:cs="Segoe UI"/>
          <w:sz w:val="22"/>
          <w:szCs w:val="22"/>
        </w:rPr>
        <w:t>outcomes.</w:t>
      </w:r>
    </w:p>
    <w:p w14:paraId="5690918F" w14:textId="5A0B6432" w:rsidR="00A50EC4" w:rsidRPr="00A50EC4" w:rsidRDefault="00A50EC4" w:rsidP="00A50EC4">
      <w:pPr>
        <w:pStyle w:val="Quote"/>
        <w:rPr>
          <w:rFonts w:ascii="Segoe UI" w:hAnsi="Segoe UI" w:cs="Segoe UI"/>
          <w:color w:val="auto"/>
        </w:rPr>
      </w:pPr>
      <w:r w:rsidRPr="00A50EC4">
        <w:rPr>
          <w:rFonts w:ascii="Segoe UI" w:hAnsi="Segoe UI" w:cs="Segoe UI"/>
          <w:color w:val="auto"/>
        </w:rPr>
        <w:t>We’re an incredible workforce of problem-solvers, like, we’re designed to go into an unknown situation with very little information and provide them the best care that they need and deserve.</w:t>
      </w:r>
    </w:p>
    <w:p w14:paraId="032CF431" w14:textId="77777777" w:rsidR="00A50EC4" w:rsidRPr="00A50EC4" w:rsidRDefault="00A50EC4" w:rsidP="00A50EC4">
      <w:pPr>
        <w:pStyle w:val="Quote"/>
        <w:rPr>
          <w:rFonts w:ascii="Segoe UI" w:hAnsi="Segoe UI" w:cs="Segoe UI"/>
          <w:color w:val="auto"/>
        </w:rPr>
      </w:pPr>
      <w:r w:rsidRPr="00A50EC4">
        <w:rPr>
          <w:rFonts w:ascii="Segoe UI" w:hAnsi="Segoe UI" w:cs="Segoe UI"/>
          <w:color w:val="auto"/>
        </w:rPr>
        <w:t>Participant</w:t>
      </w:r>
    </w:p>
    <w:p w14:paraId="6EA0BC16" w14:textId="77777777" w:rsidR="00A50EC4" w:rsidRPr="00A21CEE" w:rsidRDefault="00A50EC4" w:rsidP="00A50EC4">
      <w:pPr>
        <w:pStyle w:val="paragraph"/>
        <w:spacing w:before="0" w:beforeAutospacing="0" w:line="276" w:lineRule="auto"/>
        <w:rPr>
          <w:rFonts w:ascii="Segoe UI" w:eastAsiaTheme="majorEastAsia" w:hAnsi="Segoe UI" w:cs="Segoe UI"/>
          <w:sz w:val="22"/>
          <w:szCs w:val="22"/>
        </w:rPr>
      </w:pPr>
      <w:r w:rsidRPr="00A21CEE">
        <w:rPr>
          <w:rFonts w:ascii="Segoe UI" w:eastAsiaTheme="majorEastAsia" w:hAnsi="Segoe UI" w:cs="Segoe UI"/>
          <w:sz w:val="22"/>
          <w:szCs w:val="22"/>
        </w:rPr>
        <w:t xml:space="preserve">Given Ambulance Victoria’s highly operational nature and the fact that the workforce is dispersed across the state, participatory approaches can be challenging to implement but should be prioritised. Participatory approaches could include: </w:t>
      </w:r>
    </w:p>
    <w:p w14:paraId="275C925B" w14:textId="77777777" w:rsidR="00A50EC4" w:rsidRPr="004458DE" w:rsidRDefault="00A50EC4" w:rsidP="00A50EC4">
      <w:pPr>
        <w:pStyle w:val="ListParagraph"/>
        <w:numPr>
          <w:ilvl w:val="0"/>
          <w:numId w:val="1"/>
        </w:numPr>
        <w:spacing w:line="276" w:lineRule="auto"/>
        <w:rPr>
          <w:rFonts w:ascii="Segoe UI" w:hAnsi="Segoe UI" w:cs="Segoe UI"/>
        </w:rPr>
      </w:pPr>
      <w:r>
        <w:rPr>
          <w:rFonts w:ascii="Segoe UI" w:hAnsi="Segoe UI" w:cs="Segoe UI"/>
        </w:rPr>
        <w:t>e</w:t>
      </w:r>
      <w:r w:rsidRPr="001052F7">
        <w:rPr>
          <w:rFonts w:ascii="Segoe UI" w:hAnsi="Segoe UI" w:cs="Segoe UI"/>
        </w:rPr>
        <w:t>mbracing</w:t>
      </w:r>
      <w:r w:rsidRPr="004458DE">
        <w:rPr>
          <w:rFonts w:ascii="Segoe UI" w:hAnsi="Segoe UI" w:cs="Segoe UI"/>
        </w:rPr>
        <w:t xml:space="preserve"> a range of perspectives, defer</w:t>
      </w:r>
      <w:r>
        <w:rPr>
          <w:rFonts w:ascii="Segoe UI" w:hAnsi="Segoe UI" w:cs="Segoe UI"/>
        </w:rPr>
        <w:t>ring</w:t>
      </w:r>
      <w:r w:rsidRPr="004458DE">
        <w:rPr>
          <w:rFonts w:ascii="Segoe UI" w:hAnsi="Segoe UI" w:cs="Segoe UI"/>
        </w:rPr>
        <w:t xml:space="preserve"> judg</w:t>
      </w:r>
      <w:r>
        <w:rPr>
          <w:rFonts w:ascii="Segoe UI" w:hAnsi="Segoe UI" w:cs="Segoe UI"/>
        </w:rPr>
        <w:t>e</w:t>
      </w:r>
      <w:r w:rsidRPr="004458DE">
        <w:rPr>
          <w:rFonts w:ascii="Segoe UI" w:hAnsi="Segoe UI" w:cs="Segoe UI"/>
        </w:rPr>
        <w:t>ment and deepen</w:t>
      </w:r>
      <w:r>
        <w:rPr>
          <w:rFonts w:ascii="Segoe UI" w:hAnsi="Segoe UI" w:cs="Segoe UI"/>
        </w:rPr>
        <w:t>ing</w:t>
      </w:r>
      <w:r w:rsidRPr="004458DE">
        <w:rPr>
          <w:rFonts w:ascii="Segoe UI" w:hAnsi="Segoe UI" w:cs="Segoe UI"/>
        </w:rPr>
        <w:t xml:space="preserve"> understanding </w:t>
      </w:r>
    </w:p>
    <w:p w14:paraId="256768EE" w14:textId="77777777" w:rsidR="00A50EC4" w:rsidRPr="004458DE" w:rsidRDefault="00A50EC4" w:rsidP="00A50EC4">
      <w:pPr>
        <w:pStyle w:val="ListParagraph"/>
        <w:numPr>
          <w:ilvl w:val="0"/>
          <w:numId w:val="1"/>
        </w:numPr>
        <w:spacing w:line="276" w:lineRule="auto"/>
        <w:rPr>
          <w:rFonts w:ascii="Segoe UI" w:hAnsi="Segoe UI" w:cs="Segoe UI"/>
        </w:rPr>
      </w:pPr>
      <w:r>
        <w:rPr>
          <w:rFonts w:ascii="Segoe UI" w:hAnsi="Segoe UI" w:cs="Segoe UI"/>
        </w:rPr>
        <w:t>e</w:t>
      </w:r>
      <w:r w:rsidRPr="00694A47">
        <w:rPr>
          <w:rFonts w:ascii="Segoe UI" w:hAnsi="Segoe UI" w:cs="Segoe UI"/>
        </w:rPr>
        <w:t>levating the voices of lived experience and engaging</w:t>
      </w:r>
      <w:r w:rsidRPr="004458DE">
        <w:rPr>
          <w:rFonts w:ascii="Segoe UI" w:hAnsi="Segoe UI" w:cs="Segoe UI"/>
        </w:rPr>
        <w:t xml:space="preserve"> directly with people rather than making assumptions </w:t>
      </w:r>
    </w:p>
    <w:p w14:paraId="0B312AF6" w14:textId="77777777" w:rsidR="00A50EC4" w:rsidRPr="004458DE" w:rsidRDefault="00A50EC4" w:rsidP="00A50EC4">
      <w:pPr>
        <w:pStyle w:val="ListParagraph"/>
        <w:numPr>
          <w:ilvl w:val="0"/>
          <w:numId w:val="1"/>
        </w:numPr>
        <w:spacing w:line="276" w:lineRule="auto"/>
        <w:rPr>
          <w:rFonts w:ascii="Segoe UI" w:hAnsi="Segoe UI" w:cs="Segoe UI"/>
        </w:rPr>
      </w:pPr>
      <w:r>
        <w:rPr>
          <w:rFonts w:ascii="Segoe UI" w:hAnsi="Segoe UI" w:cs="Segoe UI"/>
        </w:rPr>
        <w:t>c</w:t>
      </w:r>
      <w:r w:rsidRPr="001052F7">
        <w:rPr>
          <w:rFonts w:ascii="Segoe UI" w:hAnsi="Segoe UI" w:cs="Segoe UI"/>
        </w:rPr>
        <w:t>reating</w:t>
      </w:r>
      <w:r w:rsidRPr="004458DE">
        <w:rPr>
          <w:rFonts w:ascii="Segoe UI" w:hAnsi="Segoe UI" w:cs="Segoe UI"/>
        </w:rPr>
        <w:t xml:space="preserve"> a welcoming environment where people feel comfortable and valued </w:t>
      </w:r>
    </w:p>
    <w:p w14:paraId="7849D131" w14:textId="77777777" w:rsidR="00A50EC4" w:rsidRPr="004458DE" w:rsidRDefault="00A50EC4" w:rsidP="00A50EC4">
      <w:pPr>
        <w:pStyle w:val="ListParagraph"/>
        <w:numPr>
          <w:ilvl w:val="0"/>
          <w:numId w:val="1"/>
        </w:numPr>
        <w:spacing w:line="276" w:lineRule="auto"/>
        <w:rPr>
          <w:rFonts w:ascii="Segoe UI" w:hAnsi="Segoe UI" w:cs="Segoe UI"/>
        </w:rPr>
      </w:pPr>
      <w:r>
        <w:rPr>
          <w:rFonts w:ascii="Segoe UI" w:hAnsi="Segoe UI" w:cs="Segoe UI"/>
        </w:rPr>
        <w:t>a</w:t>
      </w:r>
      <w:r w:rsidRPr="001052F7">
        <w:rPr>
          <w:rFonts w:ascii="Segoe UI" w:hAnsi="Segoe UI" w:cs="Segoe UI"/>
        </w:rPr>
        <w:t xml:space="preserve">voiding </w:t>
      </w:r>
      <w:r w:rsidRPr="004458DE">
        <w:rPr>
          <w:rFonts w:ascii="Segoe UI" w:hAnsi="Segoe UI" w:cs="Segoe UI"/>
        </w:rPr>
        <w:t>rushing to conclusions</w:t>
      </w:r>
      <w:r>
        <w:rPr>
          <w:rFonts w:ascii="Segoe UI" w:hAnsi="Segoe UI" w:cs="Segoe UI"/>
        </w:rPr>
        <w:t>,</w:t>
      </w:r>
      <w:r w:rsidRPr="004458DE">
        <w:rPr>
          <w:rFonts w:ascii="Segoe UI" w:hAnsi="Segoe UI" w:cs="Segoe UI"/>
        </w:rPr>
        <w:t xml:space="preserve"> instead </w:t>
      </w:r>
      <w:r w:rsidRPr="001052F7">
        <w:rPr>
          <w:rFonts w:ascii="Segoe UI" w:hAnsi="Segoe UI" w:cs="Segoe UI"/>
        </w:rPr>
        <w:t>spending</w:t>
      </w:r>
      <w:r w:rsidRPr="004458DE">
        <w:rPr>
          <w:rFonts w:ascii="Segoe UI" w:hAnsi="Segoe UI" w:cs="Segoe UI"/>
        </w:rPr>
        <w:t xml:space="preserve"> time exploring questions and insights with others</w:t>
      </w:r>
    </w:p>
    <w:p w14:paraId="42EB3CFC" w14:textId="77777777" w:rsidR="00A50EC4" w:rsidRPr="004458DE" w:rsidRDefault="00A50EC4" w:rsidP="00A50EC4">
      <w:pPr>
        <w:pStyle w:val="ListParagraph"/>
        <w:numPr>
          <w:ilvl w:val="0"/>
          <w:numId w:val="1"/>
        </w:numPr>
        <w:spacing w:line="276" w:lineRule="auto"/>
        <w:rPr>
          <w:rFonts w:ascii="Segoe UI" w:hAnsi="Segoe UI" w:cs="Segoe UI"/>
        </w:rPr>
      </w:pPr>
      <w:r>
        <w:rPr>
          <w:rFonts w:ascii="Segoe UI" w:hAnsi="Segoe UI" w:cs="Segoe UI"/>
        </w:rPr>
        <w:t>l</w:t>
      </w:r>
      <w:r w:rsidRPr="00694A47">
        <w:rPr>
          <w:rFonts w:ascii="Segoe UI" w:hAnsi="Segoe UI" w:cs="Segoe UI"/>
        </w:rPr>
        <w:t>earning through doing</w:t>
      </w:r>
      <w:r w:rsidRPr="001052F7">
        <w:rPr>
          <w:rFonts w:ascii="Segoe UI" w:hAnsi="Segoe UI" w:cs="Segoe UI"/>
        </w:rPr>
        <w:t xml:space="preserve">, including by testing </w:t>
      </w:r>
      <w:r w:rsidRPr="004458DE">
        <w:rPr>
          <w:rFonts w:ascii="Segoe UI" w:hAnsi="Segoe UI" w:cs="Segoe UI"/>
        </w:rPr>
        <w:t>assumptions early and often through prototyping to learn what works</w:t>
      </w:r>
      <w:r w:rsidRPr="004458DE">
        <w:rPr>
          <w:rStyle w:val="FootnoteReference"/>
          <w:rFonts w:ascii="Segoe UI" w:hAnsi="Segoe UI" w:cs="Segoe UI"/>
        </w:rPr>
        <w:footnoteReference w:id="3"/>
      </w:r>
    </w:p>
    <w:p w14:paraId="558F76DF" w14:textId="77777777" w:rsidR="00A50EC4" w:rsidRPr="004458DE" w:rsidRDefault="00A50EC4" w:rsidP="00A50EC4">
      <w:pPr>
        <w:pStyle w:val="ListParagraph"/>
        <w:numPr>
          <w:ilvl w:val="0"/>
          <w:numId w:val="1"/>
        </w:numPr>
        <w:spacing w:line="276" w:lineRule="auto"/>
        <w:rPr>
          <w:rFonts w:ascii="Segoe UI" w:hAnsi="Segoe UI" w:cs="Segoe UI"/>
        </w:rPr>
      </w:pPr>
      <w:r>
        <w:rPr>
          <w:rFonts w:ascii="Segoe UI" w:hAnsi="Segoe UI" w:cs="Segoe UI"/>
        </w:rPr>
        <w:lastRenderedPageBreak/>
        <w:t>v</w:t>
      </w:r>
      <w:r w:rsidRPr="00694A47">
        <w:rPr>
          <w:rFonts w:ascii="Segoe UI" w:hAnsi="Segoe UI" w:cs="Segoe UI"/>
        </w:rPr>
        <w:t>aluing diverse perspectives</w:t>
      </w:r>
      <w:r w:rsidRPr="004458DE">
        <w:rPr>
          <w:rFonts w:ascii="Segoe UI" w:hAnsi="Segoe UI" w:cs="Segoe UI"/>
        </w:rPr>
        <w:t xml:space="preserve"> to understand different views and find common ground</w:t>
      </w:r>
      <w:r>
        <w:rPr>
          <w:rFonts w:ascii="Segoe UI" w:hAnsi="Segoe UI" w:cs="Segoe UI"/>
        </w:rPr>
        <w:t>,</w:t>
      </w:r>
      <w:r w:rsidRPr="004458DE">
        <w:rPr>
          <w:rFonts w:ascii="Segoe UI" w:hAnsi="Segoe UI" w:cs="Segoe UI"/>
        </w:rPr>
        <w:t xml:space="preserve"> </w:t>
      </w:r>
      <w:r>
        <w:rPr>
          <w:rFonts w:ascii="Segoe UI" w:hAnsi="Segoe UI" w:cs="Segoe UI"/>
        </w:rPr>
        <w:t>to f</w:t>
      </w:r>
      <w:r w:rsidRPr="004458DE">
        <w:rPr>
          <w:rFonts w:ascii="Segoe UI" w:hAnsi="Segoe UI" w:cs="Segoe UI"/>
        </w:rPr>
        <w:t>acilitate spaces for honest, inclusive conversations that respect all perspectives.</w:t>
      </w:r>
      <w:r w:rsidRPr="00694A47">
        <w:rPr>
          <w:rStyle w:val="FootnoteReference"/>
          <w:rFonts w:ascii="Segoe UI" w:hAnsi="Segoe UI" w:cs="Segoe UI"/>
        </w:rPr>
        <w:footnoteReference w:id="4"/>
      </w:r>
      <w:r w:rsidRPr="004458DE">
        <w:rPr>
          <w:rFonts w:ascii="Segoe UI" w:hAnsi="Segoe UI" w:cs="Segoe UI"/>
        </w:rPr>
        <w:t xml:space="preserve"> </w:t>
      </w:r>
    </w:p>
    <w:p w14:paraId="2720F7D7"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7720E" w14:textId="77777777" w:rsidR="00A50EC4" w:rsidRDefault="00A50EC4" w:rsidP="00A50EC4">
      <w:pPr>
        <w:spacing w:after="0" w:line="240" w:lineRule="auto"/>
      </w:pPr>
      <w:r>
        <w:separator/>
      </w:r>
    </w:p>
  </w:endnote>
  <w:endnote w:type="continuationSeparator" w:id="0">
    <w:p w14:paraId="05536428" w14:textId="77777777" w:rsidR="00A50EC4" w:rsidRDefault="00A50EC4" w:rsidP="00A5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0605B" w14:textId="77777777" w:rsidR="00A50EC4" w:rsidRDefault="00A50EC4" w:rsidP="00A50EC4">
      <w:pPr>
        <w:spacing w:after="0" w:line="240" w:lineRule="auto"/>
      </w:pPr>
      <w:r>
        <w:separator/>
      </w:r>
    </w:p>
  </w:footnote>
  <w:footnote w:type="continuationSeparator" w:id="0">
    <w:p w14:paraId="6B34C9D3" w14:textId="77777777" w:rsidR="00A50EC4" w:rsidRDefault="00A50EC4" w:rsidP="00A50EC4">
      <w:pPr>
        <w:spacing w:after="0" w:line="240" w:lineRule="auto"/>
      </w:pPr>
      <w:r>
        <w:continuationSeparator/>
      </w:r>
    </w:p>
  </w:footnote>
  <w:footnote w:id="1">
    <w:p w14:paraId="7BD0355B" w14:textId="77777777" w:rsidR="00A50EC4" w:rsidRPr="004B7C6F" w:rsidRDefault="00A50EC4" w:rsidP="00A50EC4">
      <w:pPr>
        <w:pStyle w:val="FootnoteText"/>
        <w:rPr>
          <w:rFonts w:cs="Segoe UI"/>
        </w:rPr>
      </w:pPr>
      <w:r w:rsidRPr="004B7C6F">
        <w:rPr>
          <w:rStyle w:val="FootnoteReference"/>
        </w:rPr>
        <w:footnoteRef/>
      </w:r>
      <w:r w:rsidRPr="004B7C6F">
        <w:t xml:space="preserve"> </w:t>
      </w:r>
      <w:r w:rsidRPr="004B7C6F">
        <w:rPr>
          <w:rFonts w:cs="Segoe UI"/>
        </w:rPr>
        <w:fldChar w:fldCharType="begin"/>
      </w:r>
      <w:r w:rsidRPr="004B7C6F">
        <w:rPr>
          <w:rFonts w:cs="Segoe UI"/>
        </w:rPr>
        <w:instrText xml:space="preserve"> ADDIN ZOTERO_ITEM CSL_CITATION {"citationID":"8svCKeWW","properties":{"formattedCitation":"Ali Mohammad Mosadeghrad and Maryam Ansarian, \\uc0\\u8216{}Why Do Organisational Change Programmes Fail?\\uc0\\u8217{} (2014) 5(3) {\\i{}International Journal of Strategic Change Management} 189.","plainCitation":"Ali Mohammad Mosadeghrad and Maryam Ansarian, ‘Why Do Organisational Change Programmes Fail?’ (2014) 5(3) International Journal of Strategic Change Management 189.","noteIndex":4},"citationItems":[{"id":1878,"uris":["http://zotero.org/groups/5444972/items/U2976WHX"],"itemData":{"id":1878,"type":"article-journal","abstract":"Many organisations have found it difficult to implement organisational change successfully. This paper using a systematic and meta-analysis review of the literature published between 1980 and 2011 explored the major reasons for organisational change failure. Unsuccessful change programmes were attributed to insufficient education and training, employees’ apathy, inadequate management support, poor leadership, inappropriate organisational culture, inadequate resources, poor communication, inappropriate planning, insufficient customer focus, and lack of a monitoring and measurement system. Change-programme implementation and its impact depend on the ability of managers to adopt and adapt the change programme principles in their organisations. A well-designed, wisely adapted and well-implemented change programme helps managers achieve desired results. Identification of those factors that contribute to change success or failure enables change leaders to develop effective strategies for enhancing the chances of achieving desired outcomes.","container-title":"International Journal of Strategic Change Management","DOI":"10.1504/IJSCM.2014.064460","ISSN":"1740-2859, 1740-2867","issue":"3","journalAbbreviation":"IJSCM","language":"en","page":"189","source":"DOI.org (Crossref)","title":"Why do organisational change programmes fail?","volume":"5","author":[{"family":"Mosadeghrad","given":"Ali Mohammad"},{"family":"Ansarian","given":"Maryam"}],"issued":{"date-parts":[["2014"]]}}}],"schema":"https://github.com/citation-style-language/schema/raw/master/csl-citation.json"} </w:instrText>
      </w:r>
      <w:r w:rsidRPr="004B7C6F">
        <w:rPr>
          <w:rFonts w:cs="Segoe UI"/>
        </w:rPr>
        <w:fldChar w:fldCharType="separate"/>
      </w:r>
      <w:r w:rsidRPr="004B7C6F">
        <w:rPr>
          <w:rFonts w:cs="Segoe UI"/>
        </w:rPr>
        <w:t xml:space="preserve">Ali Mohammad </w:t>
      </w:r>
      <w:proofErr w:type="spellStart"/>
      <w:r w:rsidRPr="004B7C6F">
        <w:rPr>
          <w:rFonts w:cs="Segoe UI"/>
        </w:rPr>
        <w:t>Mosadeghrad</w:t>
      </w:r>
      <w:proofErr w:type="spellEnd"/>
      <w:r w:rsidRPr="004B7C6F">
        <w:rPr>
          <w:rFonts w:cs="Segoe UI"/>
        </w:rPr>
        <w:t xml:space="preserve"> and Maryam </w:t>
      </w:r>
      <w:proofErr w:type="spellStart"/>
      <w:r w:rsidRPr="004B7C6F">
        <w:rPr>
          <w:rFonts w:cs="Segoe UI"/>
        </w:rPr>
        <w:t>Ansarian</w:t>
      </w:r>
      <w:proofErr w:type="spellEnd"/>
      <w:r w:rsidRPr="004B7C6F">
        <w:rPr>
          <w:rFonts w:cs="Segoe UI"/>
        </w:rPr>
        <w:t xml:space="preserve">, ‘Why </w:t>
      </w:r>
      <w:r>
        <w:rPr>
          <w:rFonts w:cs="Segoe UI"/>
        </w:rPr>
        <w:t>d</w:t>
      </w:r>
      <w:r w:rsidRPr="004B7C6F">
        <w:rPr>
          <w:rFonts w:cs="Segoe UI"/>
        </w:rPr>
        <w:t xml:space="preserve">o </w:t>
      </w:r>
      <w:r>
        <w:rPr>
          <w:rFonts w:cs="Segoe UI"/>
        </w:rPr>
        <w:t>o</w:t>
      </w:r>
      <w:r w:rsidRPr="004B7C6F">
        <w:rPr>
          <w:rFonts w:cs="Segoe UI"/>
        </w:rPr>
        <w:t xml:space="preserve">rganisational </w:t>
      </w:r>
      <w:r>
        <w:rPr>
          <w:rFonts w:cs="Segoe UI"/>
        </w:rPr>
        <w:t>c</w:t>
      </w:r>
      <w:r w:rsidRPr="004B7C6F">
        <w:rPr>
          <w:rFonts w:cs="Segoe UI"/>
        </w:rPr>
        <w:t xml:space="preserve">hange </w:t>
      </w:r>
      <w:r>
        <w:rPr>
          <w:rFonts w:cs="Segoe UI"/>
        </w:rPr>
        <w:t>p</w:t>
      </w:r>
      <w:r w:rsidRPr="004B7C6F">
        <w:rPr>
          <w:rFonts w:cs="Segoe UI"/>
        </w:rPr>
        <w:t xml:space="preserve">rogrammes </w:t>
      </w:r>
      <w:r>
        <w:rPr>
          <w:rFonts w:cs="Segoe UI"/>
        </w:rPr>
        <w:t>f</w:t>
      </w:r>
      <w:r w:rsidRPr="004B7C6F">
        <w:rPr>
          <w:rFonts w:cs="Segoe UI"/>
        </w:rPr>
        <w:t xml:space="preserve">ail?’ (2014) </w:t>
      </w:r>
      <w:r w:rsidRPr="004B7C6F">
        <w:rPr>
          <w:rFonts w:cs="Segoe UI"/>
          <w:i/>
          <w:iCs/>
        </w:rPr>
        <w:t>International Journal of Strategic Change Management</w:t>
      </w:r>
      <w:r w:rsidRPr="004B7C6F">
        <w:rPr>
          <w:rFonts w:cs="Segoe UI"/>
        </w:rPr>
        <w:t xml:space="preserve"> 5(3) 189.</w:t>
      </w:r>
      <w:r w:rsidRPr="004B7C6F">
        <w:rPr>
          <w:rFonts w:cs="Segoe UI"/>
        </w:rPr>
        <w:fldChar w:fldCharType="end"/>
      </w:r>
    </w:p>
  </w:footnote>
  <w:footnote w:id="2">
    <w:p w14:paraId="7D9BD6EC" w14:textId="77777777" w:rsidR="00A50EC4" w:rsidRPr="002659F8" w:rsidRDefault="00A50EC4" w:rsidP="00A50EC4">
      <w:pPr>
        <w:pStyle w:val="FootnoteText"/>
      </w:pPr>
      <w:r w:rsidRPr="002659F8">
        <w:rPr>
          <w:rStyle w:val="FootnoteReference"/>
          <w:rFonts w:cs="Segoe UI"/>
        </w:rPr>
        <w:footnoteRef/>
      </w:r>
      <w:r w:rsidRPr="002659F8">
        <w:rPr>
          <w:rFonts w:cs="Segoe UI"/>
        </w:rPr>
        <w:t xml:space="preserve"> </w:t>
      </w:r>
      <w:r w:rsidRPr="002659F8">
        <w:rPr>
          <w:rFonts w:cs="Segoe UI"/>
        </w:rPr>
        <w:fldChar w:fldCharType="begin"/>
      </w:r>
      <w:r w:rsidRPr="002659F8">
        <w:rPr>
          <w:rFonts w:cs="Segoe UI"/>
        </w:rPr>
        <w:instrText xml:space="preserve"> ADDIN ZOTERO_ITEM CSL_CITATION {"citationID":"eDc8IffV","properties":{"formattedCitation":"\\uc0\\u8216{}Understanding Participatory Approaches\\uc0\\u8203{}\\uc0\\u8203{}\\uc0\\u8203{}\\uc0\\u8203{}\\uc0\\u8203{}\\uc0\\u8203{}\\uc0\\u8203{} | Innovation Network\\uc0\\u8217{} &lt;https://innovationnetwork.vic.gov.au/toolkits/understanding-participatory-approaches#What&gt;.","plainCitation":"‘Understanding Participatory Approaches​​​​​​​ | Innovation Network’ &lt;https://innovationnetwork.vic.gov.au/toolkits/understanding-participatory-approaches#What&gt;.","noteIndex":5},"citationItems":[{"id":2331,"uris":["http://zotero.org/groups/5444972/items/3MISAQ42"],"itemData":{"id":2331,"type":"webpage","title":"Understanding participatory approaches​​​​​​​ | Innovation Network","URL":"https://innovationnetwork.vic.gov.au/toolkits/understanding-participatory-approaches#What","accessed":{"date-parts":[["2024",10,15]]}}}],"schema":"https://github.com/citation-style-language/schema/raw/master/csl-citation.json"} </w:instrText>
      </w:r>
      <w:r w:rsidRPr="002659F8">
        <w:rPr>
          <w:rFonts w:cs="Segoe UI"/>
        </w:rPr>
        <w:fldChar w:fldCharType="separate"/>
      </w:r>
      <w:r w:rsidRPr="002659F8">
        <w:rPr>
          <w:rFonts w:cs="Segoe UI"/>
        </w:rPr>
        <w:t xml:space="preserve">‘Understanding </w:t>
      </w:r>
      <w:r>
        <w:rPr>
          <w:rFonts w:cs="Segoe UI"/>
        </w:rPr>
        <w:t>p</w:t>
      </w:r>
      <w:r w:rsidRPr="002659F8">
        <w:rPr>
          <w:rFonts w:cs="Segoe UI"/>
        </w:rPr>
        <w:t xml:space="preserve">articipatory </w:t>
      </w:r>
      <w:r>
        <w:rPr>
          <w:rFonts w:cs="Segoe UI"/>
        </w:rPr>
        <w:t>a</w:t>
      </w:r>
      <w:r w:rsidRPr="002659F8">
        <w:rPr>
          <w:rFonts w:cs="Segoe UI"/>
        </w:rPr>
        <w:t>pproaches | Innovation Network’ &lt;https://innovationnetwork.vic.gov.au/toolkits/understanding-participatory-approaches#What&gt;.</w:t>
      </w:r>
      <w:r w:rsidRPr="002659F8">
        <w:rPr>
          <w:rFonts w:cs="Segoe UI"/>
        </w:rPr>
        <w:fldChar w:fldCharType="end"/>
      </w:r>
    </w:p>
  </w:footnote>
  <w:footnote w:id="3">
    <w:p w14:paraId="5E91071B" w14:textId="77777777" w:rsidR="00A50EC4" w:rsidRDefault="00A50EC4" w:rsidP="00A50EC4">
      <w:pPr>
        <w:pStyle w:val="FootnoteText"/>
      </w:pPr>
      <w:r w:rsidRPr="002659F8">
        <w:rPr>
          <w:rStyle w:val="FootnoteReference"/>
        </w:rPr>
        <w:footnoteRef/>
      </w:r>
      <w:r w:rsidRPr="002659F8">
        <w:t xml:space="preserve"> Ambulance Victoria’s work on reflective practice is aligned with this mindset and could be mutually reinforcing.</w:t>
      </w:r>
    </w:p>
  </w:footnote>
  <w:footnote w:id="4">
    <w:p w14:paraId="7CCA7BE2" w14:textId="77777777" w:rsidR="00A50EC4" w:rsidRDefault="00A50EC4" w:rsidP="00A50EC4">
      <w:pPr>
        <w:pStyle w:val="FootnoteText"/>
      </w:pPr>
      <w:r w:rsidRPr="008D0E42">
        <w:rPr>
          <w:rStyle w:val="FootnoteReference"/>
        </w:rPr>
        <w:footnoteRef/>
      </w:r>
      <w:r>
        <w:t xml:space="preserve"> </w:t>
      </w:r>
      <w:r>
        <w:fldChar w:fldCharType="begin"/>
      </w:r>
      <w:r>
        <w:instrText xml:space="preserve"> ADDIN ZOTERO_ITEM CSL_CITATION {"citationID":"3mj9FdIv","properties":{"formattedCitation":"\\uc0\\u8216{}Principles and Mindsets for Participatory Approaches | Innovation Network\\uc0\\u8217{} &lt;https://innovationnetwork.vic.gov.au/toolkits/principles-and-mindsets-participatory-approaches&gt;.","plainCitation":"‘Principles and Mindsets for Participatory Approaches | Innovation Network’ &lt;https://innovationnetwork.vic.gov.au/toolkits/principles-and-mindsets-participatory-approaches&gt;.","noteIndex":6},"citationItems":[{"id":2333,"uris":["http://zotero.org/groups/5444972/items/HDPB74WJ"],"itemData":{"id":2333,"type":"webpage","title":"Principles and mindsets for participatory approaches | Innovation Network","URL":"https://innovationnetwork.vic.gov.au/toolkits/principles-and-mindsets-participatory-approaches","accessed":{"date-parts":[["2024",10,16]]}}}],"schema":"https://github.com/citation-style-language/schema/raw/master/csl-citation.json"} </w:instrText>
      </w:r>
      <w:r>
        <w:fldChar w:fldCharType="separate"/>
      </w:r>
      <w:r w:rsidRPr="007435DC">
        <w:t xml:space="preserve">‘Principles and </w:t>
      </w:r>
      <w:r>
        <w:t>m</w:t>
      </w:r>
      <w:r w:rsidRPr="007435DC">
        <w:t xml:space="preserve">indsets for </w:t>
      </w:r>
      <w:r>
        <w:t>p</w:t>
      </w:r>
      <w:r w:rsidRPr="007435DC">
        <w:t xml:space="preserve">articipatory </w:t>
      </w:r>
      <w:r>
        <w:t>a</w:t>
      </w:r>
      <w:r w:rsidRPr="007435DC">
        <w:t>pproaches | Innovation Network’ &lt;https://innovationnetwork.vic.gov.au/toolkits/principles-and-mindsets-participatory-approaches&gt;.</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C4"/>
    <w:rsid w:val="001F5514"/>
    <w:rsid w:val="006D056D"/>
    <w:rsid w:val="00A50EC4"/>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ADBC"/>
  <w15:chartTrackingRefBased/>
  <w15:docId w15:val="{E2185A56-3EB5-406D-8105-7188D473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50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50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50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50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50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EC4"/>
    <w:rPr>
      <w:rFonts w:eastAsiaTheme="majorEastAsia" w:cstheme="majorBidi"/>
      <w:color w:val="272727" w:themeColor="text1" w:themeTint="D8"/>
    </w:rPr>
  </w:style>
  <w:style w:type="paragraph" w:styleId="Title">
    <w:name w:val="Title"/>
    <w:basedOn w:val="Normal"/>
    <w:next w:val="Normal"/>
    <w:link w:val="TitleChar"/>
    <w:uiPriority w:val="10"/>
    <w:qFormat/>
    <w:rsid w:val="00A50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EC4"/>
    <w:pPr>
      <w:spacing w:before="160"/>
      <w:jc w:val="center"/>
    </w:pPr>
    <w:rPr>
      <w:i/>
      <w:iCs/>
      <w:color w:val="404040" w:themeColor="text1" w:themeTint="BF"/>
    </w:rPr>
  </w:style>
  <w:style w:type="character" w:customStyle="1" w:styleId="QuoteChar">
    <w:name w:val="Quote Char"/>
    <w:basedOn w:val="DefaultParagraphFont"/>
    <w:link w:val="Quote"/>
    <w:uiPriority w:val="29"/>
    <w:rsid w:val="00A50EC4"/>
    <w:rPr>
      <w:i/>
      <w:iCs/>
      <w:color w:val="404040" w:themeColor="text1" w:themeTint="BF"/>
    </w:rPr>
  </w:style>
  <w:style w:type="paragraph" w:styleId="ListParagraph">
    <w:name w:val="List Paragraph"/>
    <w:aliases w:val="Bullet number"/>
    <w:basedOn w:val="Normal"/>
    <w:uiPriority w:val="99"/>
    <w:qFormat/>
    <w:rsid w:val="00A50EC4"/>
    <w:pPr>
      <w:ind w:left="720"/>
      <w:contextualSpacing/>
    </w:pPr>
  </w:style>
  <w:style w:type="character" w:styleId="IntenseEmphasis">
    <w:name w:val="Intense Emphasis"/>
    <w:basedOn w:val="DefaultParagraphFont"/>
    <w:uiPriority w:val="21"/>
    <w:qFormat/>
    <w:rsid w:val="00A50EC4"/>
    <w:rPr>
      <w:i/>
      <w:iCs/>
      <w:color w:val="0F4761" w:themeColor="accent1" w:themeShade="BF"/>
    </w:rPr>
  </w:style>
  <w:style w:type="paragraph" w:styleId="IntenseQuote">
    <w:name w:val="Intense Quote"/>
    <w:basedOn w:val="Normal"/>
    <w:next w:val="Normal"/>
    <w:link w:val="IntenseQuoteChar"/>
    <w:uiPriority w:val="30"/>
    <w:qFormat/>
    <w:rsid w:val="00A50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EC4"/>
    <w:rPr>
      <w:i/>
      <w:iCs/>
      <w:color w:val="0F4761" w:themeColor="accent1" w:themeShade="BF"/>
    </w:rPr>
  </w:style>
  <w:style w:type="character" w:styleId="IntenseReference">
    <w:name w:val="Intense Reference"/>
    <w:basedOn w:val="DefaultParagraphFont"/>
    <w:uiPriority w:val="32"/>
    <w:qFormat/>
    <w:rsid w:val="00A50EC4"/>
    <w:rPr>
      <w:b/>
      <w:bCs/>
      <w:smallCaps/>
      <w:color w:val="0F4761" w:themeColor="accent1" w:themeShade="BF"/>
      <w:spacing w:val="5"/>
    </w:rPr>
  </w:style>
  <w:style w:type="paragraph" w:styleId="FootnoteText">
    <w:name w:val="footnote text"/>
    <w:basedOn w:val="Normal"/>
    <w:link w:val="FootnoteTextChar"/>
    <w:uiPriority w:val="99"/>
    <w:unhideWhenUsed/>
    <w:qFormat/>
    <w:rsid w:val="00A50EC4"/>
    <w:pPr>
      <w:spacing w:after="0" w:line="240" w:lineRule="auto"/>
    </w:pPr>
    <w:rPr>
      <w:sz w:val="20"/>
      <w:szCs w:val="20"/>
    </w:rPr>
  </w:style>
  <w:style w:type="character" w:customStyle="1" w:styleId="FootnoteTextChar">
    <w:name w:val="Footnote Text Char"/>
    <w:basedOn w:val="DefaultParagraphFont"/>
    <w:link w:val="FootnoteText"/>
    <w:uiPriority w:val="99"/>
    <w:rsid w:val="00A50EC4"/>
    <w:rPr>
      <w:sz w:val="20"/>
      <w:szCs w:val="20"/>
    </w:rPr>
  </w:style>
  <w:style w:type="character" w:styleId="FootnoteReference">
    <w:name w:val="footnote reference"/>
    <w:basedOn w:val="DefaultParagraphFont"/>
    <w:uiPriority w:val="99"/>
    <w:semiHidden/>
    <w:unhideWhenUsed/>
    <w:qFormat/>
    <w:rsid w:val="00A50EC4"/>
    <w:rPr>
      <w:vertAlign w:val="superscript"/>
    </w:rPr>
  </w:style>
  <w:style w:type="paragraph" w:styleId="BodyText">
    <w:name w:val="Body Text"/>
    <w:basedOn w:val="Normal"/>
    <w:link w:val="BodyTextChar"/>
    <w:qFormat/>
    <w:rsid w:val="00A50EC4"/>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A50EC4"/>
    <w:rPr>
      <w:rFonts w:ascii="Arial" w:eastAsiaTheme="majorEastAsia" w:hAnsi="Arial" w:cs="Arial"/>
      <w:kern w:val="0"/>
      <w:szCs w:val="20"/>
      <w:lang w:eastAsia="en-AU"/>
      <w14:ligatures w14:val="none"/>
    </w:rPr>
  </w:style>
  <w:style w:type="paragraph" w:customStyle="1" w:styleId="paragraph">
    <w:name w:val="paragraph"/>
    <w:basedOn w:val="Normal"/>
    <w:rsid w:val="00A50EC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4FE39AF5-9123-4A48-8227-4ED349C89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DC621-F590-4C95-A29D-66F5FEED785D}">
  <ds:schemaRefs>
    <ds:schemaRef ds:uri="http://schemas.microsoft.com/sharepoint/v3/contenttype/forms"/>
  </ds:schemaRefs>
</ds:datastoreItem>
</file>

<file path=customXml/itemProps3.xml><?xml version="1.0" encoding="utf-8"?>
<ds:datastoreItem xmlns:ds="http://schemas.openxmlformats.org/officeDocument/2006/customXml" ds:itemID="{109770A5-3567-49DE-90C6-5C6C8F3F1C4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c797cc59-9b55-482b-909b-1e567b47f3ea"/>
    <ds:schemaRef ds:uri="http://purl.org/dc/elements/1.1/"/>
    <ds:schemaRef ds:uri="ce9ed8c2-7c4f-476e-aabf-c40a33b19a1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1</cp:revision>
  <dcterms:created xsi:type="dcterms:W3CDTF">2025-01-08T00:38:00Z</dcterms:created>
  <dcterms:modified xsi:type="dcterms:W3CDTF">2025-01-08T00:40:00Z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