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34664" w14:textId="77777777" w:rsidR="007D4367" w:rsidRPr="00EB77DC" w:rsidRDefault="007D4367" w:rsidP="007D4367">
      <w:pPr>
        <w:pStyle w:val="Heading1"/>
      </w:pPr>
      <w:bookmarkStart w:id="0" w:name="_Toc184136060"/>
      <w:r w:rsidRPr="00EB77DC">
        <w:t xml:space="preserve">Recommendation 9: Contact officers and local </w:t>
      </w:r>
      <w:proofErr w:type="gramStart"/>
      <w:r w:rsidRPr="00EB77DC">
        <w:t>champions</w:t>
      </w:r>
      <w:proofErr w:type="gramEnd"/>
      <w:r w:rsidRPr="00EB77DC">
        <w:t xml:space="preserve"> network</w:t>
      </w:r>
      <w:bookmarkEnd w:id="0"/>
    </w:p>
    <w:p w14:paraId="114036D5" w14:textId="77777777" w:rsidR="007D4367" w:rsidRPr="003F4218" w:rsidRDefault="007D4367" w:rsidP="007D4367">
      <w:pPr>
        <w:spacing w:line="276" w:lineRule="auto"/>
        <w:rPr>
          <w:rFonts w:ascii="Segoe UI" w:eastAsia="Segoe UI" w:hAnsi="Segoe UI" w:cs="Segoe UI"/>
        </w:rPr>
      </w:pPr>
      <w:r>
        <w:rPr>
          <w:rFonts w:ascii="Segoe UI" w:eastAsia="Segoe UI" w:hAnsi="Segoe UI" w:cs="Segoe UI"/>
        </w:rPr>
        <w:t xml:space="preserve">Recommendation 9 </w:t>
      </w:r>
      <w:r w:rsidRPr="00C27ADA">
        <w:rPr>
          <w:rFonts w:ascii="Segoe UI" w:eastAsia="Segoe UI" w:hAnsi="Segoe UI" w:cs="Segoe UI"/>
        </w:rPr>
        <w:t>requires</w:t>
      </w:r>
      <w:r>
        <w:rPr>
          <w:rFonts w:ascii="Segoe UI" w:eastAsia="Segoe UI" w:hAnsi="Segoe UI" w:cs="Segoe UI"/>
        </w:rPr>
        <w:t xml:space="preserve"> </w:t>
      </w:r>
      <w:r w:rsidRPr="009C3C48">
        <w:rPr>
          <w:rFonts w:ascii="Segoe UI" w:eastAsia="Segoe UI" w:hAnsi="Segoe UI" w:cs="Segoe UI"/>
        </w:rPr>
        <w:t xml:space="preserve">Ambulance Victoria </w:t>
      </w:r>
      <w:r>
        <w:rPr>
          <w:rFonts w:ascii="Segoe UI" w:eastAsia="Segoe UI" w:hAnsi="Segoe UI" w:cs="Segoe UI"/>
        </w:rPr>
        <w:t xml:space="preserve">to </w:t>
      </w:r>
      <w:r w:rsidRPr="009C3C48">
        <w:rPr>
          <w:rFonts w:ascii="Segoe UI" w:eastAsia="Segoe UI" w:hAnsi="Segoe UI" w:cs="Segoe UI"/>
        </w:rPr>
        <w:t>reintroduce workplace equality contact officers in each region</w:t>
      </w:r>
      <w:r>
        <w:rPr>
          <w:rFonts w:ascii="Segoe UI" w:eastAsia="Segoe UI" w:hAnsi="Segoe UI" w:cs="Segoe UI"/>
        </w:rPr>
        <w:t xml:space="preserve"> and </w:t>
      </w:r>
      <w:r w:rsidRPr="009C3C48">
        <w:rPr>
          <w:rFonts w:ascii="Segoe UI" w:eastAsia="Segoe UI" w:hAnsi="Segoe UI" w:cs="Segoe UI"/>
        </w:rPr>
        <w:t>implement a champions of change model to drive reforms for a safe and equal workplace culture.</w:t>
      </w:r>
    </w:p>
    <w:p w14:paraId="67844E50" w14:textId="77777777" w:rsidR="007D4367" w:rsidRPr="004A4CB6" w:rsidRDefault="007D4367" w:rsidP="007D4367">
      <w:pPr>
        <w:pStyle w:val="Heading2"/>
      </w:pPr>
      <w:bookmarkStart w:id="1" w:name="_Toc184117627"/>
      <w:bookmarkStart w:id="2" w:name="_Toc184136062"/>
      <w:r w:rsidRPr="004A4CB6">
        <w:t>Recommendation intent and why it matters</w:t>
      </w:r>
      <w:bookmarkEnd w:id="1"/>
      <w:bookmarkEnd w:id="2"/>
    </w:p>
    <w:p w14:paraId="59BD3119" w14:textId="77777777" w:rsidR="007D4367" w:rsidRDefault="007D4367" w:rsidP="007D4367">
      <w:pPr>
        <w:spacing w:line="276" w:lineRule="auto"/>
      </w:pPr>
      <w:r w:rsidRPr="000D0F0F">
        <w:rPr>
          <w:rFonts w:ascii="Segoe UI" w:eastAsia="Segoe UI" w:hAnsi="Segoe UI" w:cs="Segoe UI"/>
        </w:rPr>
        <w:t>As part of a holistic approach to prevention of harmful and unlawful conduct, a network of contact officers and local champions will support a culture of workplace safety and equality</w:t>
      </w:r>
      <w:r>
        <w:rPr>
          <w:rFonts w:ascii="Segoe UI" w:eastAsia="Segoe UI" w:hAnsi="Segoe UI" w:cs="Segoe UI"/>
        </w:rPr>
        <w:t xml:space="preserve">. </w:t>
      </w:r>
      <w:r w:rsidRPr="000D0F0F">
        <w:rPr>
          <w:rFonts w:ascii="Segoe UI" w:eastAsia="Segoe UI" w:hAnsi="Segoe UI" w:cs="Segoe UI"/>
        </w:rPr>
        <w:t xml:space="preserve">It will also help Ambulance Victoria to meet its </w:t>
      </w:r>
      <w:r>
        <w:rPr>
          <w:rFonts w:ascii="Segoe UI" w:eastAsia="Segoe UI" w:hAnsi="Segoe UI" w:cs="Segoe UI"/>
        </w:rPr>
        <w:t xml:space="preserve">duties under the </w:t>
      </w:r>
      <w:r w:rsidRPr="006E3B95">
        <w:rPr>
          <w:rFonts w:ascii="Segoe UI" w:eastAsia="Segoe UI" w:hAnsi="Segoe UI" w:cs="Segoe UI"/>
          <w:i/>
          <w:iCs/>
        </w:rPr>
        <w:t>Equal Opportunity Act 2010</w:t>
      </w:r>
      <w:r>
        <w:rPr>
          <w:rFonts w:ascii="Segoe UI" w:eastAsia="Segoe UI" w:hAnsi="Segoe UI" w:cs="Segoe UI"/>
        </w:rPr>
        <w:t xml:space="preserve"> </w:t>
      </w:r>
      <w:r w:rsidRPr="008E577A">
        <w:rPr>
          <w:rFonts w:ascii="Segoe UI" w:eastAsia="Segoe UI" w:hAnsi="Segoe UI" w:cs="Segoe UI"/>
        </w:rPr>
        <w:t>(Vic)</w:t>
      </w:r>
      <w:r>
        <w:rPr>
          <w:rFonts w:ascii="Segoe UI" w:eastAsia="Segoe UI" w:hAnsi="Segoe UI" w:cs="Segoe UI"/>
          <w:i/>
          <w:iCs/>
        </w:rPr>
        <w:t xml:space="preserve"> </w:t>
      </w:r>
      <w:r w:rsidRPr="000D0F0F">
        <w:rPr>
          <w:rFonts w:ascii="Segoe UI" w:eastAsia="Segoe UI" w:hAnsi="Segoe UI" w:cs="Segoe UI"/>
        </w:rPr>
        <w:t>to prevent, identify and respond to unlawful workplace conduct.</w:t>
      </w:r>
    </w:p>
    <w:p w14:paraId="4A116459" w14:textId="77777777" w:rsidR="007D4367" w:rsidRPr="000D0F0F" w:rsidRDefault="007D4367" w:rsidP="007D4367">
      <w:pPr>
        <w:spacing w:line="276" w:lineRule="auto"/>
        <w:rPr>
          <w:rFonts w:ascii="Segoe UI" w:eastAsia="Segoe UI" w:hAnsi="Segoe UI" w:cs="Segoe UI"/>
          <w:lang w:val="en-US"/>
        </w:rPr>
      </w:pPr>
      <w:r w:rsidRPr="000D0F0F">
        <w:rPr>
          <w:rFonts w:ascii="Segoe UI" w:eastAsia="Segoe UI" w:hAnsi="Segoe UI" w:cs="Segoe UI"/>
          <w:lang w:val="en-US"/>
        </w:rPr>
        <w:t xml:space="preserve">Contact </w:t>
      </w:r>
      <w:r w:rsidRPr="003F4218">
        <w:rPr>
          <w:rFonts w:ascii="Segoe UI" w:eastAsia="Segoe UI" w:hAnsi="Segoe UI" w:cs="Segoe UI"/>
        </w:rPr>
        <w:t>officers</w:t>
      </w:r>
      <w:r w:rsidRPr="000D0F0F">
        <w:rPr>
          <w:rFonts w:ascii="Segoe UI" w:eastAsia="Segoe UI" w:hAnsi="Segoe UI" w:cs="Segoe UI"/>
          <w:lang w:val="en-US"/>
        </w:rPr>
        <w:t xml:space="preserve"> can: </w:t>
      </w:r>
    </w:p>
    <w:p w14:paraId="18438320" w14:textId="77777777" w:rsidR="007D4367" w:rsidRPr="003F4218" w:rsidRDefault="007D4367" w:rsidP="007D4367">
      <w:pPr>
        <w:pStyle w:val="ListParagraph"/>
        <w:numPr>
          <w:ilvl w:val="0"/>
          <w:numId w:val="1"/>
        </w:numPr>
        <w:rPr>
          <w:rFonts w:ascii="Segoe UI" w:hAnsi="Segoe UI" w:cs="Segoe UI"/>
        </w:rPr>
      </w:pPr>
      <w:r w:rsidRPr="003F4218">
        <w:rPr>
          <w:rFonts w:ascii="Segoe UI" w:hAnsi="Segoe UI" w:cs="Segoe UI"/>
        </w:rPr>
        <w:t xml:space="preserve">reduce barriers to speaking up and coming forward </w:t>
      </w:r>
    </w:p>
    <w:p w14:paraId="710A1F77" w14:textId="77777777" w:rsidR="007D4367" w:rsidRPr="003F4218" w:rsidRDefault="007D4367" w:rsidP="007D4367">
      <w:pPr>
        <w:pStyle w:val="ListParagraph"/>
        <w:numPr>
          <w:ilvl w:val="0"/>
          <w:numId w:val="1"/>
        </w:numPr>
        <w:rPr>
          <w:rFonts w:ascii="Segoe UI" w:hAnsi="Segoe UI" w:cs="Segoe UI"/>
        </w:rPr>
      </w:pPr>
      <w:r w:rsidRPr="003F4218">
        <w:rPr>
          <w:rFonts w:ascii="Segoe UI" w:hAnsi="Segoe UI" w:cs="Segoe UI"/>
        </w:rPr>
        <w:t xml:space="preserve">strengthen and diversify organisational expertise related to discrimination, sexual harassment, bullying, victimisation and workplace </w:t>
      </w:r>
      <w:r>
        <w:rPr>
          <w:rFonts w:ascii="Segoe UI" w:hAnsi="Segoe UI" w:cs="Segoe UI"/>
        </w:rPr>
        <w:t>in</w:t>
      </w:r>
      <w:r w:rsidRPr="003F4218">
        <w:rPr>
          <w:rFonts w:ascii="Segoe UI" w:hAnsi="Segoe UI" w:cs="Segoe UI"/>
        </w:rPr>
        <w:t>equality</w:t>
      </w:r>
    </w:p>
    <w:p w14:paraId="2C6604F4" w14:textId="77777777" w:rsidR="007D4367" w:rsidRPr="003F4218" w:rsidRDefault="007D4367" w:rsidP="007D4367">
      <w:pPr>
        <w:pStyle w:val="ListParagraph"/>
        <w:numPr>
          <w:ilvl w:val="0"/>
          <w:numId w:val="1"/>
        </w:numPr>
        <w:rPr>
          <w:rFonts w:ascii="Segoe UI" w:hAnsi="Segoe UI" w:cs="Segoe UI"/>
        </w:rPr>
      </w:pPr>
      <w:r w:rsidRPr="003F4218">
        <w:rPr>
          <w:rFonts w:ascii="Segoe UI" w:hAnsi="Segoe UI" w:cs="Segoe UI"/>
        </w:rPr>
        <w:t>support the identification of new and emerging risks of unlawful and harmful conduct within the organisation by opening a further (de-identified) source of information</w:t>
      </w:r>
    </w:p>
    <w:p w14:paraId="60D8CDB2" w14:textId="77777777" w:rsidR="007D4367" w:rsidRPr="003F4218" w:rsidRDefault="007D4367" w:rsidP="007D4367">
      <w:pPr>
        <w:pStyle w:val="ListParagraph"/>
        <w:numPr>
          <w:ilvl w:val="0"/>
          <w:numId w:val="1"/>
        </w:numPr>
        <w:rPr>
          <w:rFonts w:ascii="Segoe UI" w:hAnsi="Segoe UI" w:cs="Segoe UI"/>
        </w:rPr>
      </w:pPr>
      <w:r w:rsidRPr="003F4218">
        <w:rPr>
          <w:rFonts w:ascii="Segoe UI" w:hAnsi="Segoe UI" w:cs="Segoe UI"/>
        </w:rPr>
        <w:t>strengthen early</w:t>
      </w:r>
      <w:r>
        <w:rPr>
          <w:rFonts w:ascii="Segoe UI" w:hAnsi="Segoe UI" w:cs="Segoe UI"/>
        </w:rPr>
        <w:t>-</w:t>
      </w:r>
      <w:r w:rsidRPr="003F4218">
        <w:rPr>
          <w:rFonts w:ascii="Segoe UI" w:hAnsi="Segoe UI" w:cs="Segoe UI"/>
        </w:rPr>
        <w:t>intervention measures and efforts to prevent harm before it occurs.</w:t>
      </w:r>
    </w:p>
    <w:p w14:paraId="78580352" w14:textId="77777777" w:rsidR="007D4367" w:rsidRPr="000D0F0F" w:rsidRDefault="007D4367" w:rsidP="007D4367">
      <w:pPr>
        <w:spacing w:line="276" w:lineRule="auto"/>
        <w:rPr>
          <w:rFonts w:ascii="Segoe UI" w:eastAsia="Segoe UI" w:hAnsi="Segoe UI" w:cs="Segoe UI"/>
          <w:lang w:val="en-US"/>
        </w:rPr>
      </w:pPr>
      <w:r w:rsidRPr="000D0F0F">
        <w:rPr>
          <w:rFonts w:ascii="Segoe UI" w:eastAsia="Segoe UI" w:hAnsi="Segoe UI" w:cs="Segoe UI"/>
          <w:lang w:val="en-US"/>
        </w:rPr>
        <w:t>Champions can:</w:t>
      </w:r>
    </w:p>
    <w:p w14:paraId="638462F0" w14:textId="77777777" w:rsidR="007D4367" w:rsidRPr="003F4218" w:rsidRDefault="007D4367" w:rsidP="007D4367">
      <w:pPr>
        <w:pStyle w:val="ListParagraph"/>
        <w:numPr>
          <w:ilvl w:val="0"/>
          <w:numId w:val="1"/>
        </w:numPr>
        <w:rPr>
          <w:rFonts w:ascii="Segoe UI" w:hAnsi="Segoe UI" w:cs="Segoe UI"/>
        </w:rPr>
      </w:pPr>
      <w:r w:rsidRPr="003F4218">
        <w:rPr>
          <w:rFonts w:ascii="Segoe UI" w:hAnsi="Segoe UI" w:cs="Segoe UI"/>
        </w:rPr>
        <w:t>support the implementation of the reforms at all levels (including local level</w:t>
      </w:r>
      <w:r>
        <w:rPr>
          <w:rFonts w:ascii="Segoe UI" w:hAnsi="Segoe UI" w:cs="Segoe UI"/>
        </w:rPr>
        <w:t>s</w:t>
      </w:r>
      <w:r w:rsidRPr="003F4218">
        <w:rPr>
          <w:rFonts w:ascii="Segoe UI" w:hAnsi="Segoe UI" w:cs="Segoe UI"/>
        </w:rPr>
        <w:t xml:space="preserve">) </w:t>
      </w:r>
    </w:p>
    <w:p w14:paraId="68D47EA8" w14:textId="77777777" w:rsidR="007D4367" w:rsidRPr="003F4218" w:rsidRDefault="007D4367" w:rsidP="007D4367">
      <w:pPr>
        <w:pStyle w:val="ListParagraph"/>
        <w:numPr>
          <w:ilvl w:val="0"/>
          <w:numId w:val="1"/>
        </w:numPr>
        <w:rPr>
          <w:rFonts w:ascii="Segoe UI" w:hAnsi="Segoe UI" w:cs="Segoe UI"/>
        </w:rPr>
      </w:pPr>
      <w:r w:rsidRPr="003F4218">
        <w:rPr>
          <w:rFonts w:ascii="Segoe UI" w:hAnsi="Segoe UI" w:cs="Segoe UI"/>
        </w:rPr>
        <w:t xml:space="preserve">build organisational capability by appointing informal leaders responsible for championing and advocating for the reforms and workplace equality  </w:t>
      </w:r>
    </w:p>
    <w:p w14:paraId="3B0BDB55" w14:textId="77777777" w:rsidR="007D4367" w:rsidRPr="003F4218" w:rsidRDefault="007D4367" w:rsidP="007D4367">
      <w:pPr>
        <w:pStyle w:val="ListParagraph"/>
        <w:numPr>
          <w:ilvl w:val="0"/>
          <w:numId w:val="1"/>
        </w:numPr>
        <w:rPr>
          <w:rFonts w:ascii="Segoe UI" w:hAnsi="Segoe UI" w:cs="Segoe UI"/>
        </w:rPr>
      </w:pPr>
      <w:r w:rsidRPr="003F4218">
        <w:rPr>
          <w:rFonts w:ascii="Segoe UI" w:hAnsi="Segoe UI" w:cs="Segoe UI"/>
        </w:rPr>
        <w:t>help to identify new and emerging risks, particularly those arising from change implementation (including backlash).</w:t>
      </w:r>
    </w:p>
    <w:p w14:paraId="50EA1FB9" w14:textId="77777777" w:rsidR="007D4367" w:rsidRPr="004A4CB6" w:rsidRDefault="007D4367" w:rsidP="007D4367">
      <w:pPr>
        <w:pStyle w:val="Heading2"/>
      </w:pPr>
      <w:bookmarkStart w:id="3" w:name="_Toc184117628"/>
      <w:bookmarkStart w:id="4" w:name="_Toc184136063"/>
      <w:r w:rsidRPr="004A4CB6">
        <w:t>Findings</w:t>
      </w:r>
      <w:bookmarkEnd w:id="3"/>
      <w:bookmarkEnd w:id="4"/>
    </w:p>
    <w:p w14:paraId="40CFDFDD" w14:textId="77777777" w:rsidR="007D4367" w:rsidRPr="00BE30EA" w:rsidRDefault="007D4367" w:rsidP="007D4367">
      <w:pPr>
        <w:pStyle w:val="Heading3"/>
      </w:pPr>
      <w:bookmarkStart w:id="5" w:name="_Toc184117629"/>
      <w:bookmarkStart w:id="6" w:name="_Toc184136064"/>
      <w:r w:rsidRPr="00BE30EA">
        <w:t>What we found in Phase 1 of the Review</w:t>
      </w:r>
      <w:bookmarkEnd w:id="5"/>
      <w:bookmarkEnd w:id="6"/>
    </w:p>
    <w:p w14:paraId="01CBEB18" w14:textId="77777777" w:rsidR="007D4367" w:rsidRPr="00C81338" w:rsidRDefault="007D4367" w:rsidP="007D4367">
      <w:pPr>
        <w:spacing w:line="276" w:lineRule="auto"/>
        <w:rPr>
          <w:rFonts w:ascii="Segoe UI" w:hAnsi="Segoe UI" w:cs="Segoe UI"/>
        </w:rPr>
      </w:pPr>
      <w:r>
        <w:rPr>
          <w:rFonts w:ascii="Segoe UI" w:hAnsi="Segoe UI" w:cs="Segoe UI"/>
        </w:rPr>
        <w:t xml:space="preserve">The Commission </w:t>
      </w:r>
      <w:r w:rsidRPr="003F4218">
        <w:rPr>
          <w:rFonts w:ascii="Segoe UI" w:eastAsia="Segoe UI" w:hAnsi="Segoe UI" w:cs="Segoe UI"/>
          <w:lang w:val="en-US"/>
        </w:rPr>
        <w:t>found</w:t>
      </w:r>
      <w:r>
        <w:rPr>
          <w:rFonts w:ascii="Segoe UI" w:hAnsi="Segoe UI" w:cs="Segoe UI"/>
        </w:rPr>
        <w:t xml:space="preserve"> that </w:t>
      </w:r>
      <w:r w:rsidRPr="00C81338">
        <w:rPr>
          <w:rFonts w:ascii="Segoe UI" w:hAnsi="Segoe UI" w:cs="Segoe UI"/>
        </w:rPr>
        <w:t xml:space="preserve">Ambulance Victoria’s approach to prevention was not working </w:t>
      </w:r>
      <w:proofErr w:type="gramStart"/>
      <w:r w:rsidRPr="00C81338">
        <w:rPr>
          <w:rFonts w:ascii="Segoe UI" w:hAnsi="Segoe UI" w:cs="Segoe UI"/>
        </w:rPr>
        <w:t>effectively</w:t>
      </w:r>
      <w:proofErr w:type="gramEnd"/>
      <w:r w:rsidRPr="00C81338">
        <w:rPr>
          <w:rFonts w:ascii="Segoe UI" w:hAnsi="Segoe UI" w:cs="Segoe UI"/>
        </w:rPr>
        <w:t xml:space="preserve"> </w:t>
      </w:r>
      <w:r>
        <w:rPr>
          <w:rFonts w:ascii="Segoe UI" w:hAnsi="Segoe UI" w:cs="Segoe UI"/>
        </w:rPr>
        <w:t xml:space="preserve">and it </w:t>
      </w:r>
      <w:r w:rsidRPr="00C81338">
        <w:rPr>
          <w:rFonts w:ascii="Segoe UI" w:hAnsi="Segoe UI" w:cs="Segoe UI"/>
        </w:rPr>
        <w:t>was not meeting</w:t>
      </w:r>
      <w:r>
        <w:rPr>
          <w:rFonts w:ascii="Segoe UI" w:hAnsi="Segoe UI" w:cs="Segoe UI"/>
        </w:rPr>
        <w:t xml:space="preserve"> several</w:t>
      </w:r>
      <w:r w:rsidRPr="00C81338">
        <w:rPr>
          <w:rFonts w:ascii="Segoe UI" w:hAnsi="Segoe UI" w:cs="Segoe UI"/>
        </w:rPr>
        <w:t xml:space="preserve"> </w:t>
      </w:r>
      <w:r w:rsidRPr="00172000">
        <w:rPr>
          <w:rFonts w:ascii="Segoe UI" w:hAnsi="Segoe UI" w:cs="Segoe UI"/>
          <w:i/>
          <w:iCs/>
        </w:rPr>
        <w:t xml:space="preserve">Equal Opportunity Act 2010 </w:t>
      </w:r>
      <w:r w:rsidRPr="00E46962">
        <w:rPr>
          <w:rFonts w:ascii="Segoe UI" w:hAnsi="Segoe UI" w:cs="Segoe UI"/>
        </w:rPr>
        <w:t>(Vic)</w:t>
      </w:r>
      <w:r>
        <w:rPr>
          <w:rFonts w:ascii="Segoe UI" w:hAnsi="Segoe UI" w:cs="Segoe UI"/>
        </w:rPr>
        <w:t xml:space="preserve"> </w:t>
      </w:r>
      <w:r w:rsidRPr="00C81338">
        <w:rPr>
          <w:rFonts w:ascii="Segoe UI" w:hAnsi="Segoe UI" w:cs="Segoe UI"/>
        </w:rPr>
        <w:t>obligations</w:t>
      </w:r>
      <w:r>
        <w:rPr>
          <w:rFonts w:ascii="Segoe UI" w:hAnsi="Segoe UI" w:cs="Segoe UI"/>
        </w:rPr>
        <w:t>.</w:t>
      </w:r>
      <w:r w:rsidRPr="00C81338">
        <w:rPr>
          <w:rFonts w:ascii="Segoe UI" w:hAnsi="Segoe UI" w:cs="Segoe UI"/>
        </w:rPr>
        <w:t xml:space="preserve"> </w:t>
      </w:r>
      <w:r>
        <w:rPr>
          <w:rFonts w:ascii="Segoe UI" w:hAnsi="Segoe UI" w:cs="Segoe UI"/>
        </w:rPr>
        <w:t>During Phase 1 of the</w:t>
      </w:r>
      <w:r w:rsidRPr="00C81338">
        <w:rPr>
          <w:rFonts w:ascii="Segoe UI" w:hAnsi="Segoe UI" w:cs="Segoe UI"/>
        </w:rPr>
        <w:t xml:space="preserve"> </w:t>
      </w:r>
      <w:r>
        <w:rPr>
          <w:rFonts w:ascii="Segoe UI" w:hAnsi="Segoe UI" w:cs="Segoe UI"/>
        </w:rPr>
        <w:t>R</w:t>
      </w:r>
      <w:r w:rsidRPr="00C81338">
        <w:rPr>
          <w:rFonts w:ascii="Segoe UI" w:hAnsi="Segoe UI" w:cs="Segoe UI"/>
        </w:rPr>
        <w:t>eview, Ambulance Victoria had 6 contact officers</w:t>
      </w:r>
      <w:r>
        <w:rPr>
          <w:rFonts w:ascii="Segoe UI" w:hAnsi="Segoe UI" w:cs="Segoe UI"/>
        </w:rPr>
        <w:t>;</w:t>
      </w:r>
      <w:r w:rsidRPr="00C81338">
        <w:rPr>
          <w:rFonts w:ascii="Segoe UI" w:hAnsi="Segoe UI" w:cs="Segoe UI"/>
        </w:rPr>
        <w:t xml:space="preserve"> however</w:t>
      </w:r>
      <w:r>
        <w:rPr>
          <w:rFonts w:ascii="Segoe UI" w:hAnsi="Segoe UI" w:cs="Segoe UI"/>
        </w:rPr>
        <w:t>,</w:t>
      </w:r>
      <w:r w:rsidRPr="00C81338">
        <w:rPr>
          <w:rFonts w:ascii="Segoe UI" w:hAnsi="Segoe UI" w:cs="Segoe UI"/>
        </w:rPr>
        <w:t xml:space="preserve"> the program was inactive and under review.</w:t>
      </w:r>
    </w:p>
    <w:p w14:paraId="0706A7FA" w14:textId="77777777" w:rsidR="007D4367" w:rsidRDefault="007D4367" w:rsidP="007D4367">
      <w:pPr>
        <w:spacing w:line="276" w:lineRule="auto"/>
        <w:rPr>
          <w:rFonts w:ascii="Segoe UI" w:hAnsi="Segoe UI" w:cs="Segoe UI"/>
        </w:rPr>
      </w:pPr>
      <w:r>
        <w:rPr>
          <w:rFonts w:ascii="Segoe UI" w:hAnsi="Segoe UI" w:cs="Segoe UI"/>
        </w:rPr>
        <w:t xml:space="preserve">The Commission </w:t>
      </w:r>
      <w:r w:rsidRPr="003F4218">
        <w:rPr>
          <w:rFonts w:ascii="Segoe UI" w:eastAsia="Segoe UI" w:hAnsi="Segoe UI" w:cs="Segoe UI"/>
          <w:lang w:val="en-US"/>
        </w:rPr>
        <w:t>found</w:t>
      </w:r>
      <w:r>
        <w:rPr>
          <w:rFonts w:ascii="Segoe UI" w:hAnsi="Segoe UI" w:cs="Segoe UI"/>
        </w:rPr>
        <w:t xml:space="preserve"> that </w:t>
      </w:r>
      <w:r w:rsidRPr="00C81338">
        <w:rPr>
          <w:rFonts w:ascii="Segoe UI" w:hAnsi="Segoe UI" w:cs="Segoe UI"/>
        </w:rPr>
        <w:t xml:space="preserve">the absence of contact officers may have </w:t>
      </w:r>
      <w:r>
        <w:rPr>
          <w:rFonts w:ascii="Segoe UI" w:hAnsi="Segoe UI" w:cs="Segoe UI"/>
        </w:rPr>
        <w:t xml:space="preserve">meant </w:t>
      </w:r>
      <w:r w:rsidRPr="00C81338">
        <w:rPr>
          <w:rFonts w:ascii="Segoe UI" w:hAnsi="Segoe UI" w:cs="Segoe UI"/>
        </w:rPr>
        <w:t>members of the workforce</w:t>
      </w:r>
      <w:r>
        <w:rPr>
          <w:rFonts w:ascii="Segoe UI" w:hAnsi="Segoe UI" w:cs="Segoe UI"/>
        </w:rPr>
        <w:t>,</w:t>
      </w:r>
      <w:r w:rsidRPr="00C81338">
        <w:rPr>
          <w:rFonts w:ascii="Segoe UI" w:hAnsi="Segoe UI" w:cs="Segoe UI"/>
        </w:rPr>
        <w:t xml:space="preserve"> </w:t>
      </w:r>
      <w:r>
        <w:rPr>
          <w:rFonts w:ascii="Segoe UI" w:hAnsi="Segoe UI" w:cs="Segoe UI"/>
        </w:rPr>
        <w:t xml:space="preserve">who may have </w:t>
      </w:r>
      <w:r w:rsidRPr="00C81338">
        <w:rPr>
          <w:rFonts w:ascii="Segoe UI" w:hAnsi="Segoe UI" w:cs="Segoe UI"/>
        </w:rPr>
        <w:t>prefer</w:t>
      </w:r>
      <w:r>
        <w:rPr>
          <w:rFonts w:ascii="Segoe UI" w:hAnsi="Segoe UI" w:cs="Segoe UI"/>
        </w:rPr>
        <w:t>red</w:t>
      </w:r>
      <w:r w:rsidRPr="00C81338">
        <w:rPr>
          <w:rFonts w:ascii="Segoe UI" w:hAnsi="Segoe UI" w:cs="Segoe UI"/>
        </w:rPr>
        <w:t xml:space="preserve"> to seek initial </w:t>
      </w:r>
      <w:r>
        <w:rPr>
          <w:rFonts w:ascii="Segoe UI" w:hAnsi="Segoe UI" w:cs="Segoe UI"/>
        </w:rPr>
        <w:t xml:space="preserve">information </w:t>
      </w:r>
      <w:r w:rsidRPr="00C81338">
        <w:rPr>
          <w:rFonts w:ascii="Segoe UI" w:hAnsi="Segoe UI" w:cs="Segoe UI"/>
        </w:rPr>
        <w:t>and guidance from a peer</w:t>
      </w:r>
      <w:r>
        <w:rPr>
          <w:rFonts w:ascii="Segoe UI" w:hAnsi="Segoe UI" w:cs="Segoe UI"/>
        </w:rPr>
        <w:t>, were less</w:t>
      </w:r>
      <w:r w:rsidRPr="00C81338">
        <w:rPr>
          <w:rFonts w:ascii="Segoe UI" w:hAnsi="Segoe UI" w:cs="Segoe UI"/>
        </w:rPr>
        <w:t xml:space="preserve"> willing to raise concerns. The absence of contact officers also mean</w:t>
      </w:r>
      <w:r>
        <w:rPr>
          <w:rFonts w:ascii="Segoe UI" w:hAnsi="Segoe UI" w:cs="Segoe UI"/>
        </w:rPr>
        <w:t>t</w:t>
      </w:r>
      <w:r w:rsidRPr="00C81338">
        <w:rPr>
          <w:rFonts w:ascii="Segoe UI" w:hAnsi="Segoe UI" w:cs="Segoe UI"/>
        </w:rPr>
        <w:t xml:space="preserve"> that Ambulance Victoria was missing further opportunities to learn (in a de-identified way) about </w:t>
      </w:r>
      <w:r w:rsidRPr="00C81338">
        <w:rPr>
          <w:rFonts w:ascii="Segoe UI" w:hAnsi="Segoe UI" w:cs="Segoe UI"/>
        </w:rPr>
        <w:lastRenderedPageBreak/>
        <w:t>the workforce’s experiences of discrimination, sexual harassment, bullying and victimisation</w:t>
      </w:r>
      <w:r>
        <w:rPr>
          <w:rFonts w:ascii="Segoe UI" w:hAnsi="Segoe UI" w:cs="Segoe UI"/>
        </w:rPr>
        <w:t>,</w:t>
      </w:r>
      <w:r w:rsidRPr="00C81338">
        <w:rPr>
          <w:rFonts w:ascii="Segoe UI" w:hAnsi="Segoe UI" w:cs="Segoe UI"/>
        </w:rPr>
        <w:t xml:space="preserve"> and to intervene to prevent this conduct.</w:t>
      </w:r>
    </w:p>
    <w:p w14:paraId="2566D467" w14:textId="77777777" w:rsidR="007D4367" w:rsidRPr="00706209" w:rsidRDefault="007D4367" w:rsidP="007D4367">
      <w:pPr>
        <w:spacing w:line="276" w:lineRule="auto"/>
        <w:rPr>
          <w:rFonts w:ascii="Segoe UI" w:hAnsi="Segoe UI" w:cs="Segoe UI"/>
        </w:rPr>
      </w:pPr>
      <w:r>
        <w:rPr>
          <w:rFonts w:ascii="Segoe UI" w:hAnsi="Segoe UI" w:cs="Segoe UI"/>
        </w:rPr>
        <w:t>The Commission found that the workforce had a fear of</w:t>
      </w:r>
      <w:r w:rsidRPr="00706209">
        <w:rPr>
          <w:rFonts w:ascii="Segoe UI" w:hAnsi="Segoe UI" w:cs="Segoe UI"/>
        </w:rPr>
        <w:t xml:space="preserve"> speaking up </w:t>
      </w:r>
      <w:r>
        <w:rPr>
          <w:rFonts w:ascii="Segoe UI" w:hAnsi="Segoe UI" w:cs="Segoe UI"/>
        </w:rPr>
        <w:t xml:space="preserve">and </w:t>
      </w:r>
      <w:r w:rsidRPr="00706209">
        <w:rPr>
          <w:rFonts w:ascii="Segoe UI" w:hAnsi="Segoe UI" w:cs="Segoe UI"/>
        </w:rPr>
        <w:t xml:space="preserve">that there </w:t>
      </w:r>
      <w:r>
        <w:rPr>
          <w:rFonts w:ascii="Segoe UI" w:hAnsi="Segoe UI" w:cs="Segoe UI"/>
        </w:rPr>
        <w:t>was</w:t>
      </w:r>
      <w:r w:rsidRPr="00706209">
        <w:rPr>
          <w:rFonts w:ascii="Segoe UI" w:hAnsi="Segoe UI" w:cs="Segoe UI"/>
        </w:rPr>
        <w:t xml:space="preserve"> </w:t>
      </w:r>
      <w:r>
        <w:rPr>
          <w:rFonts w:ascii="Segoe UI" w:hAnsi="Segoe UI" w:cs="Segoe UI"/>
        </w:rPr>
        <w:t xml:space="preserve">a </w:t>
      </w:r>
      <w:r w:rsidRPr="00706209">
        <w:rPr>
          <w:rFonts w:ascii="Segoe UI" w:hAnsi="Segoe UI" w:cs="Segoe UI"/>
        </w:rPr>
        <w:t>culture of silence within Ambulance Victoria.</w:t>
      </w:r>
      <w:r>
        <w:rPr>
          <w:rFonts w:ascii="Segoe UI" w:hAnsi="Segoe UI" w:cs="Segoe UI"/>
        </w:rPr>
        <w:t xml:space="preserve"> </w:t>
      </w:r>
    </w:p>
    <w:p w14:paraId="74EF2ED3" w14:textId="458AB482" w:rsidR="007D4367" w:rsidRPr="007D4367" w:rsidRDefault="007D4367" w:rsidP="007D4367">
      <w:pPr>
        <w:pStyle w:val="Quote"/>
        <w:rPr>
          <w:rFonts w:ascii="Segoe UI" w:hAnsi="Segoe UI" w:cs="Segoe UI"/>
          <w:color w:val="auto"/>
        </w:rPr>
      </w:pPr>
      <w:r w:rsidRPr="007D4367">
        <w:rPr>
          <w:rFonts w:ascii="Segoe UI" w:hAnsi="Segoe UI" w:cs="Segoe UI"/>
          <w:color w:val="auto"/>
        </w:rPr>
        <w:t>You either keep your mouth shut, do your job and fly under the radar. If you speak up, you get reprimanded and denied career progression.</w:t>
      </w:r>
    </w:p>
    <w:p w14:paraId="16E4472F" w14:textId="77777777" w:rsidR="007D4367" w:rsidRPr="007D4367" w:rsidRDefault="007D4367" w:rsidP="007D4367">
      <w:pPr>
        <w:pStyle w:val="Quote"/>
        <w:rPr>
          <w:rFonts w:ascii="Segoe UI" w:hAnsi="Segoe UI" w:cs="Segoe UI"/>
          <w:color w:val="auto"/>
        </w:rPr>
      </w:pPr>
      <w:r w:rsidRPr="007D4367">
        <w:rPr>
          <w:rFonts w:ascii="Segoe UI" w:hAnsi="Segoe UI" w:cs="Segoe UI"/>
          <w:color w:val="auto"/>
        </w:rPr>
        <w:t>Phase 1 Participant</w:t>
      </w:r>
    </w:p>
    <w:p w14:paraId="4E8B8EF2" w14:textId="77777777" w:rsidR="007D4367" w:rsidRPr="00082505" w:rsidRDefault="007D4367" w:rsidP="007D4367">
      <w:pPr>
        <w:spacing w:line="276" w:lineRule="auto"/>
        <w:rPr>
          <w:rFonts w:ascii="Segoe UI" w:hAnsi="Segoe UI" w:cs="Segoe UI"/>
        </w:rPr>
      </w:pPr>
      <w:r>
        <w:rPr>
          <w:rFonts w:ascii="Segoe UI" w:hAnsi="Segoe UI" w:cs="Segoe UI"/>
        </w:rPr>
        <w:t>Further information can be found on pages 109 and 290 of Volume I.</w:t>
      </w:r>
    </w:p>
    <w:p w14:paraId="5AF7AE95" w14:textId="77777777" w:rsidR="007D4367" w:rsidRPr="00BE30EA" w:rsidRDefault="007D4367" w:rsidP="007D4367">
      <w:pPr>
        <w:pStyle w:val="Heading3"/>
      </w:pPr>
      <w:bookmarkStart w:id="7" w:name="_Toc184117630"/>
      <w:bookmarkStart w:id="8" w:name="_Toc184136065"/>
      <w:r w:rsidRPr="00BE30EA">
        <w:t>What we found in Phase 3 of the Review</w:t>
      </w:r>
      <w:bookmarkEnd w:id="7"/>
      <w:bookmarkEnd w:id="8"/>
    </w:p>
    <w:p w14:paraId="6AF16DB5" w14:textId="77777777" w:rsidR="007D4367" w:rsidRPr="00215F22" w:rsidRDefault="007D4367" w:rsidP="007D4367">
      <w:pPr>
        <w:pStyle w:val="paragraph"/>
        <w:spacing w:before="0" w:beforeAutospacing="0" w:after="0" w:afterAutospacing="0" w:line="276" w:lineRule="auto"/>
        <w:textAlignment w:val="baseline"/>
        <w:rPr>
          <w:rFonts w:ascii="Segoe UI" w:eastAsiaTheme="majorEastAsia" w:hAnsi="Segoe UI" w:cs="Segoe UI"/>
          <w:b/>
          <w:bCs/>
          <w:sz w:val="22"/>
          <w:szCs w:val="22"/>
          <w:u w:val="single"/>
        </w:rPr>
      </w:pPr>
      <w:r w:rsidRPr="00215F22">
        <w:rPr>
          <w:rFonts w:ascii="Segoe UI" w:eastAsiaTheme="majorEastAsia" w:hAnsi="Segoe UI" w:cs="Segoe UI"/>
          <w:b/>
          <w:bCs/>
          <w:sz w:val="22"/>
          <w:szCs w:val="22"/>
          <w:u w:val="single"/>
        </w:rPr>
        <w:t>Contact officers</w:t>
      </w:r>
    </w:p>
    <w:p w14:paraId="4B0AA1F4" w14:textId="77777777" w:rsidR="007D4367" w:rsidRPr="00215F22" w:rsidRDefault="007D4367" w:rsidP="007D4367">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215F22">
        <w:rPr>
          <w:rFonts w:ascii="Segoe UI" w:eastAsiaTheme="majorEastAsia" w:hAnsi="Segoe UI" w:cs="Segoe UI"/>
          <w:b/>
          <w:bCs/>
          <w:sz w:val="22"/>
          <w:szCs w:val="22"/>
        </w:rPr>
        <w:t>Ambulance Victoria is undertaking a pilot Equality Contact Officer (ECO) program</w:t>
      </w:r>
    </w:p>
    <w:p w14:paraId="71F3E860" w14:textId="77777777" w:rsidR="007D4367" w:rsidRPr="00655244" w:rsidRDefault="007D4367" w:rsidP="007D4367">
      <w:pPr>
        <w:spacing w:line="276" w:lineRule="auto"/>
        <w:rPr>
          <w:rFonts w:ascii="Segoe UI" w:eastAsia="Segoe UI" w:hAnsi="Segoe UI" w:cs="Segoe UI"/>
        </w:rPr>
      </w:pPr>
      <w:r>
        <w:rPr>
          <w:rFonts w:ascii="Segoe UI" w:eastAsia="Segoe UI" w:hAnsi="Segoe UI" w:cs="Segoe UI"/>
        </w:rPr>
        <w:t xml:space="preserve">The Commission </w:t>
      </w:r>
      <w:r w:rsidRPr="00AD0717">
        <w:rPr>
          <w:rFonts w:ascii="Segoe UI" w:hAnsi="Segoe UI" w:cs="Segoe UI"/>
        </w:rPr>
        <w:t>found</w:t>
      </w:r>
      <w:r>
        <w:rPr>
          <w:rFonts w:ascii="Segoe UI" w:eastAsia="Segoe UI" w:hAnsi="Segoe UI" w:cs="Segoe UI"/>
        </w:rPr>
        <w:t xml:space="preserve"> that a</w:t>
      </w:r>
      <w:r w:rsidRPr="00655244">
        <w:rPr>
          <w:rFonts w:ascii="Segoe UI" w:eastAsia="Segoe UI" w:hAnsi="Segoe UI" w:cs="Segoe UI"/>
        </w:rPr>
        <w:t>s part of the pilot</w:t>
      </w:r>
      <w:r>
        <w:rPr>
          <w:rFonts w:ascii="Segoe UI" w:eastAsia="Segoe UI" w:hAnsi="Segoe UI" w:cs="Segoe UI"/>
        </w:rPr>
        <w:t>,</w:t>
      </w:r>
      <w:r w:rsidRPr="00655244">
        <w:rPr>
          <w:rFonts w:ascii="Segoe UI" w:eastAsia="Segoe UI" w:hAnsi="Segoe UI" w:cs="Segoe UI"/>
        </w:rPr>
        <w:t xml:space="preserve"> 4 people </w:t>
      </w:r>
      <w:r>
        <w:rPr>
          <w:rFonts w:ascii="Segoe UI" w:eastAsia="Segoe UI" w:hAnsi="Segoe UI" w:cs="Segoe UI"/>
        </w:rPr>
        <w:t>had been</w:t>
      </w:r>
      <w:r w:rsidRPr="00655244">
        <w:rPr>
          <w:rFonts w:ascii="Segoe UI" w:eastAsia="Segoe UI" w:hAnsi="Segoe UI" w:cs="Segoe UI"/>
        </w:rPr>
        <w:t xml:space="preserve"> recruited and completed external ECO training in late May 2024 and further training was planned for June 2024. </w:t>
      </w:r>
      <w:r>
        <w:rPr>
          <w:rFonts w:ascii="Segoe UI" w:eastAsia="Segoe UI" w:hAnsi="Segoe UI" w:cs="Segoe UI"/>
        </w:rPr>
        <w:t>The Commission understands that pending</w:t>
      </w:r>
      <w:r w:rsidRPr="00655244">
        <w:rPr>
          <w:rFonts w:ascii="Segoe UI" w:eastAsia="Segoe UI" w:hAnsi="Segoe UI" w:cs="Segoe UI"/>
        </w:rPr>
        <w:t xml:space="preserve"> review of the pilot, Ambulance Victoria plans to incrementally expand the program across the state</w:t>
      </w:r>
      <w:r>
        <w:rPr>
          <w:rFonts w:ascii="Segoe UI" w:eastAsia="Segoe UI" w:hAnsi="Segoe UI" w:cs="Segoe UI"/>
        </w:rPr>
        <w:t>.</w:t>
      </w:r>
    </w:p>
    <w:p w14:paraId="3526A9CE" w14:textId="77777777" w:rsidR="007D4367" w:rsidRPr="00215F22" w:rsidRDefault="007D4367" w:rsidP="007D4367">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215F22">
        <w:rPr>
          <w:rFonts w:ascii="Segoe UI" w:eastAsiaTheme="majorEastAsia" w:hAnsi="Segoe UI" w:cs="Segoe UI"/>
          <w:b/>
          <w:bCs/>
          <w:sz w:val="22"/>
          <w:szCs w:val="22"/>
        </w:rPr>
        <w:t xml:space="preserve">Concerns </w:t>
      </w:r>
      <w:r>
        <w:rPr>
          <w:rFonts w:ascii="Segoe UI" w:eastAsiaTheme="majorEastAsia" w:hAnsi="Segoe UI" w:cs="Segoe UI"/>
          <w:b/>
          <w:bCs/>
          <w:sz w:val="22"/>
          <w:szCs w:val="22"/>
        </w:rPr>
        <w:t>had been</w:t>
      </w:r>
      <w:r w:rsidRPr="00215F22">
        <w:rPr>
          <w:rFonts w:ascii="Segoe UI" w:eastAsiaTheme="majorEastAsia" w:hAnsi="Segoe UI" w:cs="Segoe UI"/>
          <w:b/>
          <w:bCs/>
          <w:sz w:val="22"/>
          <w:szCs w:val="22"/>
        </w:rPr>
        <w:t xml:space="preserve"> raised over previous ECO program safety and Ambulance Victoria ha</w:t>
      </w:r>
      <w:r>
        <w:rPr>
          <w:rFonts w:ascii="Segoe UI" w:eastAsiaTheme="majorEastAsia" w:hAnsi="Segoe UI" w:cs="Segoe UI"/>
          <w:b/>
          <w:bCs/>
          <w:sz w:val="22"/>
          <w:szCs w:val="22"/>
        </w:rPr>
        <w:t>d</w:t>
      </w:r>
      <w:r w:rsidRPr="00215F22">
        <w:rPr>
          <w:rFonts w:ascii="Segoe UI" w:eastAsiaTheme="majorEastAsia" w:hAnsi="Segoe UI" w:cs="Segoe UI"/>
          <w:b/>
          <w:bCs/>
          <w:sz w:val="22"/>
          <w:szCs w:val="22"/>
        </w:rPr>
        <w:t xml:space="preserve"> taken steps to mitigate risks</w:t>
      </w:r>
    </w:p>
    <w:p w14:paraId="274D124A" w14:textId="77777777" w:rsidR="007D4367" w:rsidRPr="00D60826" w:rsidRDefault="007D4367" w:rsidP="007D4367">
      <w:pPr>
        <w:spacing w:line="276" w:lineRule="auto"/>
        <w:rPr>
          <w:rFonts w:ascii="Segoe UI" w:eastAsia="Segoe UI" w:hAnsi="Segoe UI" w:cs="Segoe UI"/>
        </w:rPr>
      </w:pPr>
      <w:r w:rsidRPr="00871D3C">
        <w:rPr>
          <w:rFonts w:ascii="Segoe UI" w:eastAsia="Segoe UI" w:hAnsi="Segoe UI" w:cs="Segoe UI"/>
        </w:rPr>
        <w:t xml:space="preserve">The Commission </w:t>
      </w:r>
      <w:r w:rsidRPr="00AD0717">
        <w:rPr>
          <w:rFonts w:ascii="Segoe UI" w:hAnsi="Segoe UI" w:cs="Segoe UI"/>
        </w:rPr>
        <w:t>heard</w:t>
      </w:r>
      <w:r w:rsidRPr="00871D3C">
        <w:rPr>
          <w:rFonts w:ascii="Segoe UI" w:eastAsia="Segoe UI" w:hAnsi="Segoe UI" w:cs="Segoe UI"/>
        </w:rPr>
        <w:t xml:space="preserve"> that concerns raised about the previous ECO program</w:t>
      </w:r>
      <w:r w:rsidRPr="00D60826">
        <w:rPr>
          <w:rFonts w:ascii="Segoe UI" w:eastAsia="Segoe UI" w:hAnsi="Segoe UI" w:cs="Segoe UI"/>
        </w:rPr>
        <w:t xml:space="preserve"> included the risk of unsuitable people being appointed as ECOs. </w:t>
      </w:r>
      <w:r>
        <w:rPr>
          <w:rFonts w:ascii="Segoe UI" w:eastAsia="Segoe UI" w:hAnsi="Segoe UI" w:cs="Segoe UI"/>
        </w:rPr>
        <w:t xml:space="preserve">In response, </w:t>
      </w:r>
      <w:r w:rsidRPr="00D60826">
        <w:rPr>
          <w:rFonts w:ascii="Segoe UI" w:eastAsia="Segoe UI" w:hAnsi="Segoe UI" w:cs="Segoe UI"/>
        </w:rPr>
        <w:t xml:space="preserve">Ambulance Victoria </w:t>
      </w:r>
      <w:r>
        <w:rPr>
          <w:rFonts w:ascii="Segoe UI" w:eastAsia="Segoe UI" w:hAnsi="Segoe UI" w:cs="Segoe UI"/>
        </w:rPr>
        <w:t xml:space="preserve">identified risk-mitigation strategies which it is using in the pilot program, including </w:t>
      </w:r>
      <w:r w:rsidRPr="00D60826">
        <w:rPr>
          <w:rFonts w:ascii="Segoe UI" w:eastAsia="Segoe UI" w:hAnsi="Segoe UI" w:cs="Segoe UI"/>
        </w:rPr>
        <w:t>recruitment safeguards such as probity and reference checks.</w:t>
      </w:r>
    </w:p>
    <w:p w14:paraId="52C35B2D" w14:textId="77777777" w:rsidR="007D4367" w:rsidRPr="00B207FD" w:rsidRDefault="007D4367" w:rsidP="007D4367">
      <w:pPr>
        <w:spacing w:line="276" w:lineRule="auto"/>
        <w:rPr>
          <w:rFonts w:ascii="Segoe UI" w:eastAsia="Segoe UI" w:hAnsi="Segoe UI" w:cs="Segoe UI"/>
        </w:rPr>
      </w:pPr>
      <w:r w:rsidRPr="00D60826">
        <w:rPr>
          <w:rFonts w:ascii="Segoe UI" w:eastAsia="Segoe UI" w:hAnsi="Segoe UI" w:cs="Segoe UI"/>
        </w:rPr>
        <w:t xml:space="preserve">Delaying </w:t>
      </w:r>
      <w:r w:rsidRPr="00AD0717">
        <w:rPr>
          <w:rFonts w:ascii="Segoe UI" w:hAnsi="Segoe UI" w:cs="Segoe UI"/>
        </w:rPr>
        <w:t>broader</w:t>
      </w:r>
      <w:r w:rsidRPr="00B207FD">
        <w:rPr>
          <w:rFonts w:ascii="Segoe UI" w:eastAsia="Segoe UI" w:hAnsi="Segoe UI" w:cs="Segoe UI"/>
        </w:rPr>
        <w:t xml:space="preserve"> rollout of the ECO program may result in missed opportunities for ECOs to provide early risk identification through the trusted peer source of information. However, given the need for safeguards identified, a delayed and phased rollout is a prudent approach.</w:t>
      </w:r>
    </w:p>
    <w:p w14:paraId="2B8DB354" w14:textId="77777777" w:rsidR="007D4367" w:rsidRPr="008755BE" w:rsidRDefault="007D4367" w:rsidP="007D4367">
      <w:pPr>
        <w:spacing w:line="276" w:lineRule="auto"/>
        <w:rPr>
          <w:rFonts w:ascii="Segoe UI" w:eastAsia="Segoe UI" w:hAnsi="Segoe UI" w:cs="Segoe UI"/>
        </w:rPr>
      </w:pPr>
      <w:r>
        <w:rPr>
          <w:rFonts w:ascii="Segoe UI" w:eastAsia="Segoe UI" w:hAnsi="Segoe UI" w:cs="Segoe UI"/>
        </w:rPr>
        <w:t xml:space="preserve">In the </w:t>
      </w:r>
      <w:r w:rsidRPr="00193590">
        <w:rPr>
          <w:rFonts w:ascii="Segoe UI" w:hAnsi="Segoe UI" w:cs="Segoe UI"/>
        </w:rPr>
        <w:t>meantime</w:t>
      </w:r>
      <w:r w:rsidRPr="00193590">
        <w:rPr>
          <w:rFonts w:ascii="Segoe UI" w:eastAsia="Segoe UI" w:hAnsi="Segoe UI" w:cs="Segoe UI"/>
        </w:rPr>
        <w:t xml:space="preserve">, some employees reported experiencing racism and not feeling supported to address their concerns. See Reform Barrier: Investment in an identified paramedic archetype. </w:t>
      </w:r>
    </w:p>
    <w:p w14:paraId="76255928" w14:textId="77777777" w:rsidR="007D4367" w:rsidRPr="003A4707" w:rsidRDefault="007D4367" w:rsidP="007D4367">
      <w:pPr>
        <w:pStyle w:val="paragraph"/>
        <w:spacing w:before="0" w:beforeAutospacing="0" w:after="0" w:afterAutospacing="0" w:line="276" w:lineRule="auto"/>
        <w:textAlignment w:val="baseline"/>
        <w:rPr>
          <w:rFonts w:ascii="Segoe UI" w:eastAsiaTheme="majorEastAsia" w:hAnsi="Segoe UI" w:cs="Segoe UI"/>
          <w:b/>
          <w:bCs/>
          <w:sz w:val="22"/>
          <w:szCs w:val="22"/>
          <w:u w:val="single"/>
        </w:rPr>
      </w:pPr>
      <w:r w:rsidRPr="003A4707">
        <w:rPr>
          <w:rFonts w:ascii="Segoe UI" w:eastAsiaTheme="majorEastAsia" w:hAnsi="Segoe UI" w:cs="Segoe UI"/>
          <w:b/>
          <w:bCs/>
          <w:sz w:val="22"/>
          <w:szCs w:val="22"/>
          <w:u w:val="single"/>
        </w:rPr>
        <w:t>Champions network</w:t>
      </w:r>
    </w:p>
    <w:p w14:paraId="11DA43DA" w14:textId="77777777" w:rsidR="007D4367" w:rsidRPr="003A4707" w:rsidRDefault="007D4367" w:rsidP="007D4367">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3A4707">
        <w:rPr>
          <w:rFonts w:ascii="Segoe UI" w:eastAsiaTheme="majorEastAsia" w:hAnsi="Segoe UI" w:cs="Segoe UI"/>
          <w:b/>
          <w:bCs/>
          <w:sz w:val="22"/>
          <w:szCs w:val="22"/>
        </w:rPr>
        <w:t xml:space="preserve">Ambulance Victoria </w:t>
      </w:r>
      <w:r>
        <w:rPr>
          <w:rFonts w:ascii="Segoe UI" w:eastAsiaTheme="majorEastAsia" w:hAnsi="Segoe UI" w:cs="Segoe UI"/>
          <w:b/>
          <w:bCs/>
          <w:sz w:val="22"/>
          <w:szCs w:val="22"/>
        </w:rPr>
        <w:t xml:space="preserve">had </w:t>
      </w:r>
      <w:r w:rsidRPr="003A4707">
        <w:rPr>
          <w:rFonts w:ascii="Segoe UI" w:eastAsiaTheme="majorEastAsia" w:hAnsi="Segoe UI" w:cs="Segoe UI"/>
          <w:b/>
          <w:bCs/>
          <w:sz w:val="22"/>
          <w:szCs w:val="22"/>
        </w:rPr>
        <w:t xml:space="preserve">discontinued earlier work to develop a champions model </w:t>
      </w:r>
      <w:r>
        <w:rPr>
          <w:rFonts w:ascii="Segoe UI" w:eastAsiaTheme="majorEastAsia" w:hAnsi="Segoe UI" w:cs="Segoe UI"/>
          <w:b/>
          <w:bCs/>
          <w:sz w:val="22"/>
          <w:szCs w:val="22"/>
        </w:rPr>
        <w:t>but</w:t>
      </w:r>
      <w:r w:rsidRPr="003A4707">
        <w:rPr>
          <w:rFonts w:ascii="Segoe UI" w:eastAsiaTheme="majorEastAsia" w:hAnsi="Segoe UI" w:cs="Segoe UI"/>
          <w:b/>
          <w:bCs/>
          <w:sz w:val="22"/>
          <w:szCs w:val="22"/>
        </w:rPr>
        <w:t xml:space="preserve"> in 2024 amended the </w:t>
      </w:r>
      <w:r>
        <w:rPr>
          <w:rFonts w:ascii="Segoe UI" w:eastAsiaTheme="majorEastAsia" w:hAnsi="Segoe UI" w:cs="Segoe UI"/>
          <w:b/>
          <w:bCs/>
          <w:sz w:val="22"/>
          <w:szCs w:val="22"/>
        </w:rPr>
        <w:t>S</w:t>
      </w:r>
      <w:r w:rsidRPr="003A4707">
        <w:rPr>
          <w:rFonts w:ascii="Segoe UI" w:eastAsiaTheme="majorEastAsia" w:hAnsi="Segoe UI" w:cs="Segoe UI"/>
          <w:b/>
          <w:bCs/>
          <w:sz w:val="22"/>
          <w:szCs w:val="22"/>
        </w:rPr>
        <w:t xml:space="preserve">taff </w:t>
      </w:r>
      <w:r>
        <w:rPr>
          <w:rFonts w:ascii="Segoe UI" w:eastAsiaTheme="majorEastAsia" w:hAnsi="Segoe UI" w:cs="Segoe UI"/>
          <w:b/>
          <w:bCs/>
          <w:sz w:val="22"/>
          <w:szCs w:val="22"/>
        </w:rPr>
        <w:t>R</w:t>
      </w:r>
      <w:r w:rsidRPr="003A4707">
        <w:rPr>
          <w:rFonts w:ascii="Segoe UI" w:eastAsiaTheme="majorEastAsia" w:hAnsi="Segoe UI" w:cs="Segoe UI"/>
          <w:b/>
          <w:bCs/>
          <w:sz w:val="22"/>
          <w:szCs w:val="22"/>
        </w:rPr>
        <w:t xml:space="preserve">eference </w:t>
      </w:r>
      <w:r>
        <w:rPr>
          <w:rFonts w:ascii="Segoe UI" w:eastAsiaTheme="majorEastAsia" w:hAnsi="Segoe UI" w:cs="Segoe UI"/>
          <w:b/>
          <w:bCs/>
          <w:sz w:val="22"/>
          <w:szCs w:val="22"/>
        </w:rPr>
        <w:t>G</w:t>
      </w:r>
      <w:r w:rsidRPr="003A4707">
        <w:rPr>
          <w:rFonts w:ascii="Segoe UI" w:eastAsiaTheme="majorEastAsia" w:hAnsi="Segoe UI" w:cs="Segoe UI"/>
          <w:b/>
          <w:bCs/>
          <w:sz w:val="22"/>
          <w:szCs w:val="22"/>
        </w:rPr>
        <w:t>roup terms of reference to include a champions role for members</w:t>
      </w:r>
    </w:p>
    <w:p w14:paraId="7D69C075" w14:textId="77777777" w:rsidR="007D4367" w:rsidRDefault="007D4367" w:rsidP="007D4367">
      <w:pPr>
        <w:spacing w:line="276" w:lineRule="auto"/>
        <w:rPr>
          <w:rFonts w:ascii="Segoe UI" w:eastAsia="Segoe UI" w:hAnsi="Segoe UI" w:cs="Segoe UI"/>
        </w:rPr>
      </w:pPr>
      <w:r>
        <w:rPr>
          <w:rFonts w:ascii="Segoe UI" w:eastAsia="Segoe UI" w:hAnsi="Segoe UI" w:cs="Segoe UI"/>
        </w:rPr>
        <w:t xml:space="preserve">Ambulance Victoria </w:t>
      </w:r>
      <w:r w:rsidRPr="00AD0717">
        <w:rPr>
          <w:rFonts w:ascii="Segoe UI" w:hAnsi="Segoe UI" w:cs="Segoe UI"/>
        </w:rPr>
        <w:t>report</w:t>
      </w:r>
      <w:r>
        <w:rPr>
          <w:rFonts w:ascii="Segoe UI" w:hAnsi="Segoe UI" w:cs="Segoe UI"/>
        </w:rPr>
        <w:t>ed</w:t>
      </w:r>
      <w:r>
        <w:rPr>
          <w:rFonts w:ascii="Segoe UI" w:eastAsia="Segoe UI" w:hAnsi="Segoe UI" w:cs="Segoe UI"/>
        </w:rPr>
        <w:t xml:space="preserve"> that the </w:t>
      </w:r>
      <w:r w:rsidRPr="004B5084">
        <w:rPr>
          <w:rFonts w:ascii="Segoe UI" w:eastAsia="Segoe UI" w:hAnsi="Segoe UI" w:cs="Segoe UI"/>
        </w:rPr>
        <w:t xml:space="preserve">broad champions of change network </w:t>
      </w:r>
      <w:proofErr w:type="gramStart"/>
      <w:r w:rsidRPr="004B5084">
        <w:rPr>
          <w:rFonts w:ascii="Segoe UI" w:eastAsia="Segoe UI" w:hAnsi="Segoe UI" w:cs="Segoe UI"/>
        </w:rPr>
        <w:t>comprise</w:t>
      </w:r>
      <w:r>
        <w:rPr>
          <w:rFonts w:ascii="Segoe UI" w:eastAsia="Segoe UI" w:hAnsi="Segoe UI" w:cs="Segoe UI"/>
        </w:rPr>
        <w:t>s</w:t>
      </w:r>
      <w:proofErr w:type="gramEnd"/>
      <w:r w:rsidRPr="004B5084">
        <w:rPr>
          <w:rFonts w:ascii="Segoe UI" w:eastAsia="Segoe UI" w:hAnsi="Segoe UI" w:cs="Segoe UI"/>
        </w:rPr>
        <w:t xml:space="preserve"> the </w:t>
      </w:r>
      <w:r>
        <w:rPr>
          <w:rFonts w:ascii="Segoe UI" w:eastAsia="Segoe UI" w:hAnsi="Segoe UI" w:cs="Segoe UI"/>
        </w:rPr>
        <w:t xml:space="preserve">Staff Reference Group (SRG) </w:t>
      </w:r>
      <w:r w:rsidRPr="004B5084">
        <w:rPr>
          <w:rFonts w:ascii="Segoe UI" w:eastAsia="Segoe UI" w:hAnsi="Segoe UI" w:cs="Segoe UI"/>
        </w:rPr>
        <w:t>together with project governance committees and</w:t>
      </w:r>
      <w:r>
        <w:rPr>
          <w:rFonts w:ascii="Segoe UI" w:eastAsia="Segoe UI" w:hAnsi="Segoe UI" w:cs="Segoe UI"/>
        </w:rPr>
        <w:t xml:space="preserve"> </w:t>
      </w:r>
      <w:r w:rsidRPr="004B5084">
        <w:rPr>
          <w:rFonts w:ascii="Segoe UI" w:eastAsia="Segoe UI" w:hAnsi="Segoe UI" w:cs="Segoe UI"/>
        </w:rPr>
        <w:t>several working groups</w:t>
      </w:r>
      <w:r>
        <w:rPr>
          <w:rFonts w:ascii="Segoe UI" w:eastAsia="Segoe UI" w:hAnsi="Segoe UI" w:cs="Segoe UI"/>
        </w:rPr>
        <w:t xml:space="preserve"> (</w:t>
      </w:r>
      <w:r w:rsidRPr="004B5084">
        <w:rPr>
          <w:rFonts w:ascii="Segoe UI" w:eastAsia="Segoe UI" w:hAnsi="Segoe UI" w:cs="Segoe UI"/>
        </w:rPr>
        <w:t>including the Reconciliation Working Group</w:t>
      </w:r>
      <w:r>
        <w:rPr>
          <w:rFonts w:ascii="Segoe UI" w:eastAsia="Segoe UI" w:hAnsi="Segoe UI" w:cs="Segoe UI"/>
        </w:rPr>
        <w:t xml:space="preserve"> and the </w:t>
      </w:r>
      <w:r w:rsidRPr="004B5084">
        <w:rPr>
          <w:rFonts w:ascii="Segoe UI" w:eastAsia="Segoe UI" w:hAnsi="Segoe UI" w:cs="Segoe UI"/>
        </w:rPr>
        <w:t>Gender Equality Working Group</w:t>
      </w:r>
      <w:r>
        <w:rPr>
          <w:rFonts w:ascii="Segoe UI" w:eastAsia="Segoe UI" w:hAnsi="Segoe UI" w:cs="Segoe UI"/>
        </w:rPr>
        <w:t>).</w:t>
      </w:r>
    </w:p>
    <w:p w14:paraId="5D094688" w14:textId="77777777" w:rsidR="007D4367" w:rsidRPr="00183BC8" w:rsidRDefault="007D4367" w:rsidP="007D4367">
      <w:pPr>
        <w:spacing w:line="276" w:lineRule="auto"/>
        <w:rPr>
          <w:rFonts w:ascii="Segoe UI" w:eastAsia="Segoe UI" w:hAnsi="Segoe UI" w:cs="Segoe UI"/>
        </w:rPr>
      </w:pPr>
      <w:r w:rsidRPr="00183BC8">
        <w:rPr>
          <w:rFonts w:ascii="Segoe UI" w:eastAsia="Segoe UI" w:hAnsi="Segoe UI" w:cs="Segoe UI"/>
        </w:rPr>
        <w:lastRenderedPageBreak/>
        <w:t xml:space="preserve">The </w:t>
      </w:r>
      <w:r>
        <w:rPr>
          <w:rFonts w:ascii="Segoe UI" w:eastAsia="Segoe UI" w:hAnsi="Segoe UI" w:cs="Segoe UI"/>
        </w:rPr>
        <w:t xml:space="preserve">Commission </w:t>
      </w:r>
      <w:r w:rsidRPr="00AD0717">
        <w:rPr>
          <w:rFonts w:ascii="Segoe UI" w:hAnsi="Segoe UI" w:cs="Segoe UI"/>
        </w:rPr>
        <w:t>found</w:t>
      </w:r>
      <w:r>
        <w:rPr>
          <w:rFonts w:ascii="Segoe UI" w:eastAsia="Segoe UI" w:hAnsi="Segoe UI" w:cs="Segoe UI"/>
        </w:rPr>
        <w:t xml:space="preserve"> that the </w:t>
      </w:r>
      <w:r w:rsidRPr="00183BC8">
        <w:rPr>
          <w:rFonts w:ascii="Segoe UI" w:eastAsia="Segoe UI" w:hAnsi="Segoe UI" w:cs="Segoe UI"/>
        </w:rPr>
        <w:t>2022 and 2023</w:t>
      </w:r>
      <w:r>
        <w:rPr>
          <w:rFonts w:ascii="Segoe UI" w:eastAsia="Segoe UI" w:hAnsi="Segoe UI" w:cs="Segoe UI"/>
        </w:rPr>
        <w:t xml:space="preserve"> SRG terms of reference </w:t>
      </w:r>
      <w:r w:rsidRPr="00183BC8">
        <w:rPr>
          <w:rFonts w:ascii="Segoe UI" w:eastAsia="Segoe UI" w:hAnsi="Segoe UI" w:cs="Segoe UI"/>
        </w:rPr>
        <w:t xml:space="preserve">did not have </w:t>
      </w:r>
      <w:r>
        <w:rPr>
          <w:rFonts w:ascii="Segoe UI" w:eastAsia="Segoe UI" w:hAnsi="Segoe UI" w:cs="Segoe UI"/>
        </w:rPr>
        <w:t>a champions</w:t>
      </w:r>
      <w:r w:rsidRPr="00183BC8">
        <w:rPr>
          <w:rFonts w:ascii="Segoe UI" w:eastAsia="Segoe UI" w:hAnsi="Segoe UI" w:cs="Segoe UI"/>
        </w:rPr>
        <w:t xml:space="preserve"> role specified</w:t>
      </w:r>
      <w:r>
        <w:rPr>
          <w:rFonts w:ascii="Segoe UI" w:eastAsia="Segoe UI" w:hAnsi="Segoe UI" w:cs="Segoe UI"/>
        </w:rPr>
        <w:t xml:space="preserve">, but that the </w:t>
      </w:r>
      <w:r w:rsidRPr="00172000">
        <w:rPr>
          <w:rFonts w:ascii="Segoe UI" w:eastAsia="Segoe UI" w:hAnsi="Segoe UI" w:cs="Segoe UI"/>
        </w:rPr>
        <w:t>terms of reference for the</w:t>
      </w:r>
      <w:r>
        <w:rPr>
          <w:rFonts w:ascii="Segoe UI" w:eastAsia="Segoe UI" w:hAnsi="Segoe UI" w:cs="Segoe UI"/>
        </w:rPr>
        <w:t xml:space="preserve"> SRG </w:t>
      </w:r>
      <w:r w:rsidRPr="00172000">
        <w:rPr>
          <w:rFonts w:ascii="Segoe UI" w:eastAsia="Segoe UI" w:hAnsi="Segoe UI" w:cs="Segoe UI"/>
        </w:rPr>
        <w:t>were amended in 2024 to include a champions role.</w:t>
      </w:r>
    </w:p>
    <w:p w14:paraId="47E3BD53" w14:textId="77777777" w:rsidR="007D4367" w:rsidRPr="00183BC8" w:rsidRDefault="007D4367" w:rsidP="007D4367">
      <w:pPr>
        <w:spacing w:line="276" w:lineRule="auto"/>
        <w:rPr>
          <w:rFonts w:ascii="Segoe UI" w:eastAsia="Segoe UI" w:hAnsi="Segoe UI" w:cs="Segoe UI"/>
        </w:rPr>
      </w:pPr>
      <w:r>
        <w:rPr>
          <w:rFonts w:ascii="Segoe UI" w:eastAsia="Segoe UI" w:hAnsi="Segoe UI" w:cs="Segoe UI"/>
        </w:rPr>
        <w:t xml:space="preserve">During data </w:t>
      </w:r>
      <w:r w:rsidRPr="00AD0717">
        <w:rPr>
          <w:rFonts w:ascii="Segoe UI" w:hAnsi="Segoe UI" w:cs="Segoe UI"/>
        </w:rPr>
        <w:t>collection</w:t>
      </w:r>
      <w:r>
        <w:rPr>
          <w:rFonts w:ascii="Segoe UI" w:eastAsia="Segoe UI" w:hAnsi="Segoe UI" w:cs="Segoe UI"/>
        </w:rPr>
        <w:t xml:space="preserve">, the Commission </w:t>
      </w:r>
      <w:r w:rsidRPr="00183BC8">
        <w:rPr>
          <w:rFonts w:ascii="Segoe UI" w:eastAsia="Segoe UI" w:hAnsi="Segoe UI" w:cs="Segoe UI"/>
        </w:rPr>
        <w:t xml:space="preserve">found that there </w:t>
      </w:r>
      <w:r>
        <w:rPr>
          <w:rFonts w:ascii="Segoe UI" w:eastAsia="Segoe UI" w:hAnsi="Segoe UI" w:cs="Segoe UI"/>
        </w:rPr>
        <w:t>we</w:t>
      </w:r>
      <w:r w:rsidRPr="00183BC8">
        <w:rPr>
          <w:rFonts w:ascii="Segoe UI" w:eastAsia="Segoe UI" w:hAnsi="Segoe UI" w:cs="Segoe UI"/>
        </w:rPr>
        <w:t xml:space="preserve">re </w:t>
      </w:r>
      <w:r>
        <w:rPr>
          <w:rFonts w:ascii="Segoe UI" w:eastAsia="Segoe UI" w:hAnsi="Segoe UI" w:cs="Segoe UI"/>
        </w:rPr>
        <w:t>members of the workforce</w:t>
      </w:r>
      <w:r w:rsidRPr="00183BC8">
        <w:rPr>
          <w:rFonts w:ascii="Segoe UI" w:eastAsia="Segoe UI" w:hAnsi="Segoe UI" w:cs="Segoe UI"/>
        </w:rPr>
        <w:t xml:space="preserve"> who </w:t>
      </w:r>
      <w:r>
        <w:rPr>
          <w:rFonts w:ascii="Segoe UI" w:eastAsia="Segoe UI" w:hAnsi="Segoe UI" w:cs="Segoe UI"/>
        </w:rPr>
        <w:t>we</w:t>
      </w:r>
      <w:r w:rsidRPr="00183BC8">
        <w:rPr>
          <w:rFonts w:ascii="Segoe UI" w:eastAsia="Segoe UI" w:hAnsi="Segoe UI" w:cs="Segoe UI"/>
        </w:rPr>
        <w:t>re passionate about organisational change and ha</w:t>
      </w:r>
      <w:r>
        <w:rPr>
          <w:rFonts w:ascii="Segoe UI" w:eastAsia="Segoe UI" w:hAnsi="Segoe UI" w:cs="Segoe UI"/>
        </w:rPr>
        <w:t>d</w:t>
      </w:r>
      <w:r w:rsidRPr="00183BC8">
        <w:rPr>
          <w:rFonts w:ascii="Segoe UI" w:eastAsia="Segoe UI" w:hAnsi="Segoe UI" w:cs="Segoe UI"/>
        </w:rPr>
        <w:t xml:space="preserve"> therefore been acting as </w:t>
      </w:r>
      <w:r>
        <w:rPr>
          <w:rFonts w:ascii="Segoe UI" w:eastAsia="Segoe UI" w:hAnsi="Segoe UI" w:cs="Segoe UI"/>
        </w:rPr>
        <w:t>c</w:t>
      </w:r>
      <w:r w:rsidRPr="00183BC8">
        <w:rPr>
          <w:rFonts w:ascii="Segoe UI" w:eastAsia="Segoe UI" w:hAnsi="Segoe UI" w:cs="Segoe UI"/>
        </w:rPr>
        <w:t xml:space="preserve">hampions in a </w:t>
      </w:r>
      <w:r>
        <w:rPr>
          <w:rFonts w:ascii="Segoe UI" w:eastAsia="Segoe UI" w:hAnsi="Segoe UI" w:cs="Segoe UI"/>
        </w:rPr>
        <w:t xml:space="preserve">more </w:t>
      </w:r>
      <w:r w:rsidRPr="00183BC8">
        <w:rPr>
          <w:rFonts w:ascii="Segoe UI" w:eastAsia="Segoe UI" w:hAnsi="Segoe UI" w:cs="Segoe UI"/>
        </w:rPr>
        <w:t xml:space="preserve">informal capacity. However, </w:t>
      </w:r>
      <w:r>
        <w:rPr>
          <w:rFonts w:ascii="Segoe UI" w:eastAsia="Segoe UI" w:hAnsi="Segoe UI" w:cs="Segoe UI"/>
        </w:rPr>
        <w:t>the Commission</w:t>
      </w:r>
      <w:r w:rsidRPr="00183BC8">
        <w:rPr>
          <w:rFonts w:ascii="Segoe UI" w:eastAsia="Segoe UI" w:hAnsi="Segoe UI" w:cs="Segoe UI"/>
        </w:rPr>
        <w:t xml:space="preserve"> did not find evidence that </w:t>
      </w:r>
      <w:r>
        <w:rPr>
          <w:rFonts w:ascii="Segoe UI" w:eastAsia="Segoe UI" w:hAnsi="Segoe UI" w:cs="Segoe UI"/>
        </w:rPr>
        <w:t>change</w:t>
      </w:r>
      <w:r w:rsidRPr="00183BC8">
        <w:rPr>
          <w:rFonts w:ascii="Segoe UI" w:eastAsia="Segoe UI" w:hAnsi="Segoe UI" w:cs="Segoe UI"/>
        </w:rPr>
        <w:t xml:space="preserve"> </w:t>
      </w:r>
      <w:r>
        <w:rPr>
          <w:rFonts w:ascii="Segoe UI" w:eastAsia="Segoe UI" w:hAnsi="Segoe UI" w:cs="Segoe UI"/>
        </w:rPr>
        <w:t>wa</w:t>
      </w:r>
      <w:r w:rsidRPr="00183BC8">
        <w:rPr>
          <w:rFonts w:ascii="Segoe UI" w:eastAsia="Segoe UI" w:hAnsi="Segoe UI" w:cs="Segoe UI"/>
        </w:rPr>
        <w:t>s being felt across the organisation. Even if</w:t>
      </w:r>
      <w:r>
        <w:rPr>
          <w:rFonts w:ascii="Segoe UI" w:eastAsia="Segoe UI" w:hAnsi="Segoe UI" w:cs="Segoe UI"/>
        </w:rPr>
        <w:t xml:space="preserve"> some members of the workforce we</w:t>
      </w:r>
      <w:r w:rsidRPr="00183BC8">
        <w:rPr>
          <w:rFonts w:ascii="Segoe UI" w:eastAsia="Segoe UI" w:hAnsi="Segoe UI" w:cs="Segoe UI"/>
        </w:rPr>
        <w:t xml:space="preserve">re acting as champions, their efforts </w:t>
      </w:r>
      <w:r>
        <w:rPr>
          <w:rFonts w:ascii="Segoe UI" w:eastAsia="Segoe UI" w:hAnsi="Segoe UI" w:cs="Segoe UI"/>
        </w:rPr>
        <w:t>we</w:t>
      </w:r>
      <w:r w:rsidRPr="00183BC8">
        <w:rPr>
          <w:rFonts w:ascii="Segoe UI" w:eastAsia="Segoe UI" w:hAnsi="Segoe UI" w:cs="Segoe UI"/>
        </w:rPr>
        <w:t>re outweighed by low levels of morale and trust within the workforce</w:t>
      </w:r>
      <w:r>
        <w:rPr>
          <w:rFonts w:ascii="Segoe UI" w:eastAsia="Segoe UI" w:hAnsi="Segoe UI" w:cs="Segoe UI"/>
        </w:rPr>
        <w:t>.</w:t>
      </w:r>
    </w:p>
    <w:p w14:paraId="06E304E7" w14:textId="77777777" w:rsidR="007D4367" w:rsidRPr="00395804" w:rsidRDefault="007D4367" w:rsidP="007D4367">
      <w:pPr>
        <w:spacing w:line="276" w:lineRule="auto"/>
        <w:rPr>
          <w:rFonts w:ascii="Segoe UI" w:eastAsia="Segoe UI" w:hAnsi="Segoe UI" w:cs="Segoe UI"/>
          <w:b/>
          <w:bCs/>
          <w:color w:val="000000" w:themeColor="text1"/>
          <w:sz w:val="32"/>
          <w:szCs w:val="32"/>
        </w:rPr>
      </w:pPr>
      <w:r>
        <w:rPr>
          <w:rFonts w:ascii="Segoe UI" w:eastAsia="Segoe UI" w:hAnsi="Segoe UI" w:cs="Segoe UI"/>
        </w:rPr>
        <w:t xml:space="preserve">The Commission </w:t>
      </w:r>
      <w:r w:rsidRPr="00AD0717">
        <w:rPr>
          <w:rFonts w:ascii="Segoe UI" w:hAnsi="Segoe UI" w:cs="Segoe UI"/>
        </w:rPr>
        <w:t>also</w:t>
      </w:r>
      <w:r>
        <w:rPr>
          <w:rFonts w:ascii="Segoe UI" w:eastAsia="Segoe UI" w:hAnsi="Segoe UI" w:cs="Segoe UI"/>
        </w:rPr>
        <w:t xml:space="preserve"> heard that s</w:t>
      </w:r>
      <w:r w:rsidRPr="00183BC8">
        <w:rPr>
          <w:rFonts w:ascii="Segoe UI" w:eastAsia="Segoe UI" w:hAnsi="Segoe UI" w:cs="Segoe UI"/>
        </w:rPr>
        <w:t xml:space="preserve">ome </w:t>
      </w:r>
      <w:r>
        <w:rPr>
          <w:rFonts w:ascii="Segoe UI" w:eastAsia="Segoe UI" w:hAnsi="Segoe UI" w:cs="Segoe UI"/>
        </w:rPr>
        <w:t xml:space="preserve">members of the workforce </w:t>
      </w:r>
      <w:r w:rsidRPr="00183BC8">
        <w:rPr>
          <w:rFonts w:ascii="Segoe UI" w:eastAsia="Segoe UI" w:hAnsi="Segoe UI" w:cs="Segoe UI"/>
        </w:rPr>
        <w:t xml:space="preserve">were initially enthusiastic about </w:t>
      </w:r>
      <w:r w:rsidRPr="00193590">
        <w:rPr>
          <w:rFonts w:ascii="Segoe UI" w:eastAsia="Segoe UI" w:hAnsi="Segoe UI" w:cs="Segoe UI"/>
        </w:rPr>
        <w:t xml:space="preserve">communicating with colleagues on change and being part of reform (for example, acting as informal champions) but had now become disillusioned because they were not yet seeing impactful changes to their day-to-day workplace experience. See Reform Barrier: Change Management Approach. </w:t>
      </w:r>
    </w:p>
    <w:p w14:paraId="4E3FCD09" w14:textId="77777777" w:rsidR="007D4367" w:rsidRPr="005B6B75" w:rsidRDefault="007D4367" w:rsidP="007D4367">
      <w:pPr>
        <w:pStyle w:val="Heading3"/>
        <w:rPr>
          <w:rFonts w:ascii="Segoe UI" w:hAnsi="Segoe UI" w:cs="Segoe UI"/>
        </w:rPr>
      </w:pPr>
      <w:bookmarkStart w:id="9" w:name="_Toc184117631"/>
      <w:bookmarkStart w:id="10" w:name="_Toc184136066"/>
      <w:r w:rsidRPr="005B6B75">
        <w:rPr>
          <w:rFonts w:ascii="Segoe UI" w:hAnsi="Segoe UI" w:cs="Segoe UI"/>
        </w:rPr>
        <w:t>Progress in achieving change</w:t>
      </w:r>
      <w:bookmarkEnd w:id="9"/>
      <w:bookmarkEnd w:id="10"/>
    </w:p>
    <w:p w14:paraId="00A9B82D" w14:textId="77777777" w:rsidR="007D4367" w:rsidRDefault="007D4367" w:rsidP="007D4367">
      <w:pPr>
        <w:pStyle w:val="NoSpacing"/>
        <w:jc w:val="center"/>
        <w:rPr>
          <w:rFonts w:ascii="Segoe UI" w:eastAsia="Segoe UI" w:hAnsi="Segoe UI" w:cs="Segoe UI"/>
        </w:rPr>
      </w:pPr>
      <w:r w:rsidRPr="00C92198">
        <w:rPr>
          <w:rFonts w:ascii="Segoe UI" w:eastAsia="Segoe UI" w:hAnsi="Segoe UI" w:cs="Segoe UI"/>
          <w:noProof/>
        </w:rPr>
        <w:drawing>
          <wp:inline distT="0" distB="0" distL="0" distR="0" wp14:anchorId="490A329C" wp14:editId="27446D5B">
            <wp:extent cx="1933200" cy="1980000"/>
            <wp:effectExtent l="0" t="0" r="0" b="1270"/>
            <wp:docPr id="46226304" name="Picture 1" descr="A circular graphic depicting the Commission's assessment that this recommendation is in planning and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6304" name="Picture 1" descr="A circular graphic depicting the Commission's assessment that this recommendation is in planning and development."/>
                    <pic:cNvPicPr/>
                  </pic:nvPicPr>
                  <pic:blipFill>
                    <a:blip r:embed="rId10"/>
                    <a:stretch>
                      <a:fillRect/>
                    </a:stretch>
                  </pic:blipFill>
                  <pic:spPr>
                    <a:xfrm>
                      <a:off x="0" y="0"/>
                      <a:ext cx="1933200" cy="1980000"/>
                    </a:xfrm>
                    <a:prstGeom prst="rect">
                      <a:avLst/>
                    </a:prstGeom>
                  </pic:spPr>
                </pic:pic>
              </a:graphicData>
            </a:graphic>
          </wp:inline>
        </w:drawing>
      </w:r>
    </w:p>
    <w:p w14:paraId="0A0B4B07" w14:textId="77777777" w:rsidR="007D4367" w:rsidRDefault="007D4367" w:rsidP="007D4367">
      <w:pPr>
        <w:pStyle w:val="NoSpacing"/>
        <w:rPr>
          <w:rFonts w:ascii="Segoe UI" w:eastAsia="Segoe UI" w:hAnsi="Segoe UI" w:cs="Segoe UI"/>
        </w:rPr>
      </w:pPr>
    </w:p>
    <w:p w14:paraId="6E49F341" w14:textId="77777777" w:rsidR="007D4367" w:rsidRDefault="007D4367" w:rsidP="007D4367">
      <w:pPr>
        <w:spacing w:line="276" w:lineRule="auto"/>
        <w:rPr>
          <w:rFonts w:ascii="Segoe UI" w:eastAsia="Segoe UI" w:hAnsi="Segoe UI" w:cs="Segoe UI"/>
        </w:rPr>
      </w:pPr>
      <w:r>
        <w:rPr>
          <w:rFonts w:ascii="Segoe UI" w:eastAsia="Segoe UI" w:hAnsi="Segoe UI" w:cs="Segoe UI"/>
        </w:rPr>
        <w:t>T</w:t>
      </w:r>
      <w:r w:rsidRPr="1147327D">
        <w:rPr>
          <w:rFonts w:ascii="Segoe UI" w:eastAsia="Segoe UI" w:hAnsi="Segoe UI" w:cs="Segoe UI"/>
        </w:rPr>
        <w:t xml:space="preserve">he Commission </w:t>
      </w:r>
      <w:r w:rsidRPr="00AD0717">
        <w:rPr>
          <w:rFonts w:ascii="Segoe UI" w:hAnsi="Segoe UI" w:cs="Segoe UI"/>
        </w:rPr>
        <w:t>has</w:t>
      </w:r>
      <w:r>
        <w:rPr>
          <w:rFonts w:ascii="Segoe UI" w:eastAsia="Segoe UI" w:hAnsi="Segoe UI" w:cs="Segoe UI"/>
        </w:rPr>
        <w:t xml:space="preserve"> assessed</w:t>
      </w:r>
      <w:r w:rsidRPr="1147327D">
        <w:rPr>
          <w:rFonts w:ascii="Segoe UI" w:eastAsia="Segoe UI" w:hAnsi="Segoe UI" w:cs="Segoe UI"/>
        </w:rPr>
        <w:t xml:space="preserve"> th</w:t>
      </w:r>
      <w:r>
        <w:rPr>
          <w:rFonts w:ascii="Segoe UI" w:eastAsia="Segoe UI" w:hAnsi="Segoe UI" w:cs="Segoe UI"/>
        </w:rPr>
        <w:t>is</w:t>
      </w:r>
      <w:r w:rsidRPr="1147327D">
        <w:rPr>
          <w:rFonts w:ascii="Segoe UI" w:eastAsia="Segoe UI" w:hAnsi="Segoe UI" w:cs="Segoe UI"/>
        </w:rPr>
        <w:t xml:space="preserve"> recommendation </w:t>
      </w:r>
      <w:r>
        <w:rPr>
          <w:rFonts w:ascii="Segoe UI" w:eastAsia="Segoe UI" w:hAnsi="Segoe UI" w:cs="Segoe UI"/>
        </w:rPr>
        <w:t>as</w:t>
      </w:r>
      <w:r w:rsidRPr="1147327D">
        <w:rPr>
          <w:rFonts w:ascii="Segoe UI" w:eastAsia="Segoe UI" w:hAnsi="Segoe UI" w:cs="Segoe UI"/>
        </w:rPr>
        <w:t xml:space="preserve"> in the planning and development stage.</w:t>
      </w:r>
    </w:p>
    <w:p w14:paraId="2605F44C" w14:textId="77777777" w:rsidR="007D4367" w:rsidRDefault="007D4367" w:rsidP="007D4367">
      <w:pPr>
        <w:spacing w:line="276" w:lineRule="auto"/>
        <w:rPr>
          <w:rFonts w:ascii="Segoe UI" w:eastAsia="Segoe UI" w:hAnsi="Segoe UI" w:cs="Segoe UI"/>
        </w:rPr>
      </w:pPr>
      <w:r w:rsidRPr="00526EB8">
        <w:rPr>
          <w:rFonts w:ascii="Segoe UI" w:eastAsia="Segoe UI" w:hAnsi="Segoe UI" w:cs="Segoe UI"/>
        </w:rPr>
        <w:t xml:space="preserve">Recommendation 9 is </w:t>
      </w:r>
      <w:r w:rsidRPr="00AD0717">
        <w:rPr>
          <w:rFonts w:ascii="Segoe UI" w:hAnsi="Segoe UI" w:cs="Segoe UI"/>
        </w:rPr>
        <w:t>part</w:t>
      </w:r>
      <w:r w:rsidRPr="00526EB8">
        <w:rPr>
          <w:rFonts w:ascii="Segoe UI" w:eastAsia="Segoe UI" w:hAnsi="Segoe UI" w:cs="Segoe UI"/>
        </w:rPr>
        <w:t xml:space="preserve"> of a group of recommendations (Recommendations 1</w:t>
      </w:r>
      <w:r>
        <w:rPr>
          <w:rFonts w:ascii="Segoe UI" w:eastAsia="Segoe UI" w:hAnsi="Segoe UI" w:cs="Segoe UI"/>
        </w:rPr>
        <w:t>–</w:t>
      </w:r>
      <w:r w:rsidRPr="00526EB8">
        <w:rPr>
          <w:rFonts w:ascii="Segoe UI" w:eastAsia="Segoe UI" w:hAnsi="Segoe UI" w:cs="Segoe UI"/>
        </w:rPr>
        <w:t>12) aimed at working towards a holistic approach to prevention. Recommendations in this group centre around:</w:t>
      </w:r>
    </w:p>
    <w:p w14:paraId="4D79C43A" w14:textId="77777777" w:rsidR="007D4367" w:rsidRPr="00AD0717" w:rsidRDefault="007D4367" w:rsidP="007D4367">
      <w:pPr>
        <w:pStyle w:val="ListParagraph"/>
        <w:numPr>
          <w:ilvl w:val="0"/>
          <w:numId w:val="1"/>
        </w:numPr>
        <w:rPr>
          <w:rFonts w:ascii="Segoe UI" w:hAnsi="Segoe UI" w:cs="Segoe UI"/>
        </w:rPr>
      </w:pPr>
      <w:r w:rsidRPr="00AD0717">
        <w:rPr>
          <w:rFonts w:ascii="Segoe UI" w:hAnsi="Segoe UI" w:cs="Segoe UI"/>
        </w:rPr>
        <w:t>restoring trust</w:t>
      </w:r>
    </w:p>
    <w:p w14:paraId="5369BCE3" w14:textId="77777777" w:rsidR="007D4367" w:rsidRPr="00AD0717" w:rsidRDefault="007D4367" w:rsidP="007D4367">
      <w:pPr>
        <w:pStyle w:val="ListParagraph"/>
        <w:numPr>
          <w:ilvl w:val="0"/>
          <w:numId w:val="1"/>
        </w:numPr>
        <w:rPr>
          <w:rFonts w:ascii="Segoe UI" w:hAnsi="Segoe UI" w:cs="Segoe UI"/>
        </w:rPr>
      </w:pPr>
      <w:r w:rsidRPr="00AD0717">
        <w:rPr>
          <w:rFonts w:ascii="Segoe UI" w:hAnsi="Segoe UI" w:cs="Segoe UI"/>
        </w:rPr>
        <w:t>strengthening prevention</w:t>
      </w:r>
    </w:p>
    <w:p w14:paraId="1A8025D0" w14:textId="77777777" w:rsidR="007D4367" w:rsidRPr="00AD0717" w:rsidRDefault="007D4367" w:rsidP="007D4367">
      <w:pPr>
        <w:pStyle w:val="ListParagraph"/>
        <w:numPr>
          <w:ilvl w:val="0"/>
          <w:numId w:val="1"/>
        </w:numPr>
        <w:rPr>
          <w:rFonts w:ascii="Segoe UI" w:hAnsi="Segoe UI" w:cs="Segoe UI"/>
        </w:rPr>
      </w:pPr>
      <w:r w:rsidRPr="00AD0717">
        <w:rPr>
          <w:rFonts w:ascii="Segoe UI" w:hAnsi="Segoe UI" w:cs="Segoe UI"/>
        </w:rPr>
        <w:t>resetting organisational values</w:t>
      </w:r>
    </w:p>
    <w:p w14:paraId="41374BC5" w14:textId="77777777" w:rsidR="007D4367" w:rsidRPr="00AD0717" w:rsidRDefault="007D4367" w:rsidP="007D4367">
      <w:pPr>
        <w:pStyle w:val="ListParagraph"/>
        <w:numPr>
          <w:ilvl w:val="0"/>
          <w:numId w:val="1"/>
        </w:numPr>
        <w:rPr>
          <w:rFonts w:ascii="Segoe UI" w:hAnsi="Segoe UI" w:cs="Segoe UI"/>
        </w:rPr>
      </w:pPr>
      <w:r w:rsidRPr="00AD0717">
        <w:rPr>
          <w:rFonts w:ascii="Segoe UI" w:hAnsi="Segoe UI" w:cs="Segoe UI"/>
        </w:rPr>
        <w:t xml:space="preserve">encouraging a </w:t>
      </w:r>
      <w:r>
        <w:rPr>
          <w:rFonts w:ascii="Segoe UI" w:hAnsi="Segoe UI" w:cs="Segoe UI"/>
        </w:rPr>
        <w:t>‘</w:t>
      </w:r>
      <w:r w:rsidRPr="00AD0717">
        <w:rPr>
          <w:rFonts w:ascii="Segoe UI" w:hAnsi="Segoe UI" w:cs="Segoe UI"/>
        </w:rPr>
        <w:t>speak up</w:t>
      </w:r>
      <w:r>
        <w:rPr>
          <w:rFonts w:ascii="Segoe UI" w:hAnsi="Segoe UI" w:cs="Segoe UI"/>
        </w:rPr>
        <w:t>’</w:t>
      </w:r>
      <w:r w:rsidRPr="00AD0717">
        <w:rPr>
          <w:rFonts w:ascii="Segoe UI" w:hAnsi="Segoe UI" w:cs="Segoe UI"/>
        </w:rPr>
        <w:t xml:space="preserve"> culture</w:t>
      </w:r>
    </w:p>
    <w:p w14:paraId="016288AE" w14:textId="77777777" w:rsidR="007D4367" w:rsidRPr="00AD0717" w:rsidRDefault="007D4367" w:rsidP="007D4367">
      <w:pPr>
        <w:pStyle w:val="ListParagraph"/>
        <w:numPr>
          <w:ilvl w:val="0"/>
          <w:numId w:val="1"/>
        </w:numPr>
        <w:rPr>
          <w:rFonts w:ascii="Segoe UI" w:hAnsi="Segoe UI" w:cs="Segoe UI"/>
        </w:rPr>
      </w:pPr>
      <w:r>
        <w:rPr>
          <w:rFonts w:ascii="Segoe UI" w:hAnsi="Segoe UI" w:cs="Segoe UI"/>
        </w:rPr>
        <w:t xml:space="preserve">having </w:t>
      </w:r>
      <w:r w:rsidRPr="00AD0717">
        <w:rPr>
          <w:rFonts w:ascii="Segoe UI" w:hAnsi="Segoe UI" w:cs="Segoe UI"/>
        </w:rPr>
        <w:t>E</w:t>
      </w:r>
      <w:r>
        <w:rPr>
          <w:rFonts w:ascii="Segoe UI" w:hAnsi="Segoe UI" w:cs="Segoe UI"/>
        </w:rPr>
        <w:t>CO</w:t>
      </w:r>
      <w:r w:rsidRPr="00AD0717">
        <w:rPr>
          <w:rFonts w:ascii="Segoe UI" w:hAnsi="Segoe UI" w:cs="Segoe UI"/>
        </w:rPr>
        <w:t>s and change champions</w:t>
      </w:r>
    </w:p>
    <w:p w14:paraId="3C2232F5" w14:textId="77777777" w:rsidR="007D4367" w:rsidRPr="00AD0717" w:rsidRDefault="007D4367" w:rsidP="007D4367">
      <w:pPr>
        <w:pStyle w:val="ListParagraph"/>
        <w:numPr>
          <w:ilvl w:val="0"/>
          <w:numId w:val="1"/>
        </w:numPr>
        <w:rPr>
          <w:rFonts w:ascii="Segoe UI" w:hAnsi="Segoe UI" w:cs="Segoe UI"/>
        </w:rPr>
      </w:pPr>
      <w:r w:rsidRPr="00AD0717">
        <w:rPr>
          <w:rFonts w:ascii="Segoe UI" w:hAnsi="Segoe UI" w:cs="Segoe UI"/>
        </w:rPr>
        <w:t>valuing those who care</w:t>
      </w:r>
    </w:p>
    <w:p w14:paraId="0709C03E" w14:textId="77777777" w:rsidR="007D4367" w:rsidRPr="00AD0717" w:rsidRDefault="007D4367" w:rsidP="007D4367">
      <w:pPr>
        <w:pStyle w:val="ListParagraph"/>
        <w:numPr>
          <w:ilvl w:val="0"/>
          <w:numId w:val="1"/>
        </w:numPr>
        <w:rPr>
          <w:rFonts w:ascii="Segoe UI" w:hAnsi="Segoe UI" w:cs="Segoe UI"/>
        </w:rPr>
      </w:pPr>
      <w:r w:rsidRPr="00AD0717">
        <w:rPr>
          <w:rFonts w:ascii="Segoe UI" w:hAnsi="Segoe UI" w:cs="Segoe UI"/>
        </w:rPr>
        <w:t>shar</w:t>
      </w:r>
      <w:r>
        <w:rPr>
          <w:rFonts w:ascii="Segoe UI" w:hAnsi="Segoe UI" w:cs="Segoe UI"/>
        </w:rPr>
        <w:t>ing</w:t>
      </w:r>
      <w:r w:rsidRPr="00AD0717">
        <w:rPr>
          <w:rFonts w:ascii="Segoe UI" w:hAnsi="Segoe UI" w:cs="Segoe UI"/>
        </w:rPr>
        <w:t xml:space="preserve"> accountability for embedding workplace equality.</w:t>
      </w:r>
    </w:p>
    <w:p w14:paraId="1C20C44C" w14:textId="77777777" w:rsidR="007D4367" w:rsidRPr="00193590" w:rsidRDefault="007D4367" w:rsidP="007D4367">
      <w:pPr>
        <w:spacing w:line="276" w:lineRule="auto"/>
        <w:rPr>
          <w:rFonts w:ascii="Segoe UI" w:hAnsi="Segoe UI" w:cs="Segoe UI"/>
        </w:rPr>
      </w:pPr>
      <w:r w:rsidRPr="00526EB8">
        <w:rPr>
          <w:rFonts w:ascii="Segoe UI" w:eastAsia="Segoe UI" w:hAnsi="Segoe UI" w:cs="Segoe UI"/>
        </w:rPr>
        <w:lastRenderedPageBreak/>
        <w:t xml:space="preserve">The Progress Evaluation Audit data </w:t>
      </w:r>
      <w:r w:rsidRPr="00AD0717">
        <w:rPr>
          <w:rFonts w:ascii="Segoe UI" w:hAnsi="Segoe UI" w:cs="Segoe UI"/>
        </w:rPr>
        <w:t>identified</w:t>
      </w:r>
      <w:r w:rsidRPr="00526EB8">
        <w:rPr>
          <w:rFonts w:ascii="Segoe UI" w:eastAsia="Segoe UI" w:hAnsi="Segoe UI" w:cs="Segoe UI"/>
        </w:rPr>
        <w:t xml:space="preserve"> some broader workplace issues around </w:t>
      </w:r>
      <w:r w:rsidRPr="00526EB8">
        <w:rPr>
          <w:rFonts w:ascii="Segoe UI" w:hAnsi="Segoe UI" w:cs="Segoe UI"/>
        </w:rPr>
        <w:t>trust, accountability and psychological safety that may be acting as barrier</w:t>
      </w:r>
      <w:r>
        <w:rPr>
          <w:rFonts w:ascii="Segoe UI" w:hAnsi="Segoe UI" w:cs="Segoe UI"/>
        </w:rPr>
        <w:t>s</w:t>
      </w:r>
      <w:r w:rsidRPr="00526EB8">
        <w:rPr>
          <w:rFonts w:ascii="Segoe UI" w:hAnsi="Segoe UI" w:cs="Segoe UI"/>
        </w:rPr>
        <w:t xml:space="preserve"> to fully delivering the intent of this recommendation. Work to improve trust, accountability and psychological safety </w:t>
      </w:r>
      <w:r w:rsidRPr="00193590">
        <w:rPr>
          <w:rFonts w:ascii="Segoe UI" w:hAnsi="Segoe UI" w:cs="Segoe UI"/>
        </w:rPr>
        <w:t>should be conducted in tandem with work to promote the Reform Enabler: Culture of Prevention.</w:t>
      </w:r>
    </w:p>
    <w:p w14:paraId="30174CCF" w14:textId="77777777" w:rsidR="007D4367" w:rsidRPr="00193590" w:rsidRDefault="007D4367" w:rsidP="007D4367">
      <w:pPr>
        <w:spacing w:line="276" w:lineRule="auto"/>
        <w:rPr>
          <w:rFonts w:ascii="Segoe UI" w:hAnsi="Segoe UI" w:cs="Segoe UI"/>
        </w:rPr>
      </w:pPr>
      <w:r w:rsidRPr="00193590">
        <w:rPr>
          <w:rFonts w:ascii="Segoe UI" w:hAnsi="Segoe UI" w:cs="Segoe UI"/>
        </w:rPr>
        <w:t>Psychological safety has been identified in research as an important part of successful organisational change;</w:t>
      </w:r>
      <w:r w:rsidRPr="00193590">
        <w:rPr>
          <w:rStyle w:val="FootnoteReference"/>
          <w:rFonts w:ascii="Segoe UI" w:hAnsi="Segoe UI" w:cs="Segoe UI"/>
        </w:rPr>
        <w:footnoteReference w:id="2"/>
      </w:r>
      <w:r w:rsidRPr="00193590">
        <w:rPr>
          <w:rFonts w:ascii="Segoe UI" w:hAnsi="Segoe UI" w:cs="Segoe UI"/>
        </w:rPr>
        <w:t xml:space="preserve"> therefore these concerning results are likely to present a barrier to implementing this and other recommendations.</w:t>
      </w:r>
    </w:p>
    <w:p w14:paraId="08EA79B1" w14:textId="77777777" w:rsidR="007D4367" w:rsidRDefault="007D4367" w:rsidP="007D4367">
      <w:pPr>
        <w:spacing w:line="276" w:lineRule="auto"/>
        <w:rPr>
          <w:rFonts w:ascii="Segoe UI" w:hAnsi="Segoe UI" w:cs="Segoe UI"/>
        </w:rPr>
      </w:pPr>
      <w:r>
        <w:rPr>
          <w:rFonts w:ascii="Segoe UI" w:hAnsi="Segoe UI" w:cs="Segoe UI"/>
        </w:rPr>
        <w:t xml:space="preserve">Given that part of the role of a champion is to represent, support and advocate for the reforms, the Commission considers that low levels of workforce trust and confidence in the delivery of the required reforms are likely to present barriers to both people’s willingness to take on a champion role and their being listened to by the workforce. </w:t>
      </w:r>
    </w:p>
    <w:p w14:paraId="264B42A2" w14:textId="77777777" w:rsidR="007D4367" w:rsidRPr="00E10D2C" w:rsidRDefault="007D4367" w:rsidP="007D4367">
      <w:pPr>
        <w:spacing w:line="276" w:lineRule="auto"/>
      </w:pPr>
      <w:r>
        <w:rPr>
          <w:rFonts w:ascii="Segoe UI" w:hAnsi="Segoe UI" w:cs="Segoe UI"/>
        </w:rPr>
        <w:t xml:space="preserve">Low levels of reported trust in, and accountability of, senior leadership mean that reform communication may not be as well received from this group at this time. Similarly, low levels of reported psychological safety may negatively impact the confidence of both champions and ECOs to raise with senior leaders any risks they identify through performing their roles. </w:t>
      </w:r>
    </w:p>
    <w:p w14:paraId="304817B2" w14:textId="77777777" w:rsidR="007D4367" w:rsidRPr="004A4CB6" w:rsidRDefault="007D4367" w:rsidP="007D4367">
      <w:pPr>
        <w:pStyle w:val="Heading2"/>
      </w:pPr>
      <w:bookmarkStart w:id="11" w:name="_Toc184117632"/>
      <w:bookmarkStart w:id="12" w:name="_Toc184136067"/>
      <w:r w:rsidRPr="004A4CB6">
        <w:t>What measures are still needed?</w:t>
      </w:r>
      <w:bookmarkEnd w:id="11"/>
      <w:bookmarkEnd w:id="12"/>
    </w:p>
    <w:p w14:paraId="58C1CF25" w14:textId="77777777" w:rsidR="007D4367" w:rsidRDefault="007D4367" w:rsidP="007D4367">
      <w:pPr>
        <w:spacing w:line="276" w:lineRule="auto"/>
        <w:rPr>
          <w:rFonts w:ascii="Segoe UI" w:eastAsia="Segoe UI" w:hAnsi="Segoe UI" w:cs="Segoe UI"/>
        </w:rPr>
      </w:pPr>
      <w:r>
        <w:rPr>
          <w:rFonts w:ascii="Segoe UI" w:eastAsia="Segoe UI" w:hAnsi="Segoe UI" w:cs="Segoe UI"/>
        </w:rPr>
        <w:t xml:space="preserve">A focus on </w:t>
      </w:r>
      <w:r w:rsidRPr="00AD0717">
        <w:rPr>
          <w:rFonts w:ascii="Segoe UI" w:hAnsi="Segoe UI" w:cs="Segoe UI"/>
        </w:rPr>
        <w:t>work</w:t>
      </w:r>
      <w:r>
        <w:rPr>
          <w:rFonts w:ascii="Segoe UI" w:eastAsia="Segoe UI" w:hAnsi="Segoe UI" w:cs="Segoe UI"/>
        </w:rPr>
        <w:t xml:space="preserve"> to restore trust, accountability and psychological safety will enable champions to be a more effective part of ongoing reform work. Until this is underway, consideration should be given to how and when the champions element of this recommendation is further implemented. </w:t>
      </w:r>
      <w:proofErr w:type="gramStart"/>
      <w:r>
        <w:rPr>
          <w:rFonts w:ascii="Segoe UI" w:eastAsia="Segoe UI" w:hAnsi="Segoe UI" w:cs="Segoe UI"/>
        </w:rPr>
        <w:t>In particular, Ambulance</w:t>
      </w:r>
      <w:proofErr w:type="gramEnd"/>
      <w:r>
        <w:rPr>
          <w:rFonts w:ascii="Segoe UI" w:eastAsia="Segoe UI" w:hAnsi="Segoe UI" w:cs="Segoe UI"/>
        </w:rPr>
        <w:t xml:space="preserve"> Victoria should consider which members or groups of the workforce would be broadly seen as trusted sources of information and advocacy.</w:t>
      </w:r>
    </w:p>
    <w:p w14:paraId="1E34A339" w14:textId="77777777" w:rsidR="007D4367" w:rsidRPr="005E5A9A" w:rsidRDefault="007D4367" w:rsidP="007D4367">
      <w:pPr>
        <w:spacing w:line="276" w:lineRule="auto"/>
        <w:rPr>
          <w:rFonts w:ascii="Segoe UI" w:eastAsia="Segoe UI" w:hAnsi="Segoe UI" w:cs="Segoe UI"/>
        </w:rPr>
      </w:pPr>
      <w:r w:rsidRPr="00193590">
        <w:rPr>
          <w:rFonts w:ascii="Segoe UI" w:eastAsia="Segoe UI" w:hAnsi="Segoe UI" w:cs="Segoe UI"/>
        </w:rPr>
        <w:t xml:space="preserve">As the </w:t>
      </w:r>
      <w:r w:rsidRPr="00193590">
        <w:rPr>
          <w:rFonts w:ascii="Segoe UI" w:hAnsi="Segoe UI" w:cs="Segoe UI"/>
        </w:rPr>
        <w:t>broader</w:t>
      </w:r>
      <w:r w:rsidRPr="00193590">
        <w:rPr>
          <w:rFonts w:ascii="Segoe UI" w:eastAsia="Segoe UI" w:hAnsi="Segoe UI" w:cs="Segoe UI"/>
        </w:rPr>
        <w:t xml:space="preserve"> workforce is feeling that little change is being seen on the ground despite reform work to date – see Reform Barrier: Change Management Approach – and that psychological safety is low – see Recommendation 6: Improving safety in isolated environments – workforce members with low power (for example, the SRG) are likely not a safe or effective choice of champion </w:t>
      </w:r>
      <w:proofErr w:type="gramStart"/>
      <w:r w:rsidRPr="00193590">
        <w:rPr>
          <w:rFonts w:ascii="Segoe UI" w:eastAsia="Segoe UI" w:hAnsi="Segoe UI" w:cs="Segoe UI"/>
        </w:rPr>
        <w:t>at this time</w:t>
      </w:r>
      <w:proofErr w:type="gramEnd"/>
      <w:r>
        <w:rPr>
          <w:rFonts w:ascii="Segoe UI" w:eastAsia="Segoe UI" w:hAnsi="Segoe UI" w:cs="Segoe UI"/>
        </w:rPr>
        <w:t>.</w:t>
      </w:r>
    </w:p>
    <w:p w14:paraId="646680F2" w14:textId="77777777" w:rsidR="007D4367" w:rsidRDefault="007D4367" w:rsidP="007D4367">
      <w:pPr>
        <w:spacing w:line="276" w:lineRule="auto"/>
        <w:rPr>
          <w:rFonts w:ascii="Segoe UI" w:hAnsi="Segoe UI" w:cs="Segoe UI"/>
        </w:rPr>
      </w:pPr>
      <w:r>
        <w:rPr>
          <w:rFonts w:ascii="Segoe UI" w:eastAsia="Segoe UI" w:hAnsi="Segoe UI" w:cs="Segoe UI"/>
        </w:rPr>
        <w:t xml:space="preserve">The pilot ECO </w:t>
      </w:r>
      <w:r w:rsidRPr="00AD0717">
        <w:rPr>
          <w:rFonts w:ascii="Segoe UI" w:hAnsi="Segoe UI" w:cs="Segoe UI"/>
        </w:rPr>
        <w:t>program</w:t>
      </w:r>
      <w:r>
        <w:rPr>
          <w:rFonts w:ascii="Segoe UI" w:eastAsia="Segoe UI" w:hAnsi="Segoe UI" w:cs="Segoe UI"/>
        </w:rPr>
        <w:t xml:space="preserve"> should provide Ambulance Victoria with strong information pathways and useful data to plan and refine the program further. </w:t>
      </w:r>
      <w:r w:rsidRPr="005E5A9A">
        <w:rPr>
          <w:rFonts w:ascii="Segoe UI" w:hAnsi="Segoe UI" w:cs="Segoe UI"/>
        </w:rPr>
        <w:t xml:space="preserve">As the ECO pilot program is reviewed and further developed, consideration should be given to how the program can </w:t>
      </w:r>
      <w:r>
        <w:rPr>
          <w:rFonts w:ascii="Segoe UI" w:hAnsi="Segoe UI" w:cs="Segoe UI"/>
        </w:rPr>
        <w:t xml:space="preserve">build trust with staff and </w:t>
      </w:r>
      <w:r w:rsidRPr="005E5A9A">
        <w:rPr>
          <w:rFonts w:ascii="Segoe UI" w:hAnsi="Segoe UI" w:cs="Segoe UI"/>
        </w:rPr>
        <w:t xml:space="preserve">meet </w:t>
      </w:r>
      <w:r>
        <w:rPr>
          <w:rFonts w:ascii="Segoe UI" w:hAnsi="Segoe UI" w:cs="Segoe UI"/>
        </w:rPr>
        <w:t xml:space="preserve">the needs of different workforce </w:t>
      </w:r>
      <w:r w:rsidRPr="005E5A9A">
        <w:rPr>
          <w:rFonts w:ascii="Segoe UI" w:hAnsi="Segoe UI" w:cs="Segoe UI"/>
        </w:rPr>
        <w:t>cohorts</w:t>
      </w:r>
      <w:r>
        <w:rPr>
          <w:rFonts w:ascii="Segoe UI" w:hAnsi="Segoe UI" w:cs="Segoe UI"/>
        </w:rPr>
        <w:t>.</w:t>
      </w:r>
    </w:p>
    <w:p w14:paraId="4B6DA971" w14:textId="77777777" w:rsidR="007D4367" w:rsidRPr="00193590" w:rsidRDefault="007D4367" w:rsidP="007D4367">
      <w:pPr>
        <w:spacing w:line="276" w:lineRule="auto"/>
        <w:rPr>
          <w:rFonts w:ascii="Segoe UI" w:hAnsi="Segoe UI" w:cs="Segoe UI"/>
        </w:rPr>
      </w:pPr>
      <w:r w:rsidRPr="00193590">
        <w:rPr>
          <w:rFonts w:ascii="Segoe UI" w:hAnsi="Segoe UI" w:cs="Segoe UI"/>
        </w:rPr>
        <w:lastRenderedPageBreak/>
        <w:t xml:space="preserve">Contact officers and local champions networks play pivotal roles in enhancing and modelling workforce commitment. Work to implement Recommendation 9 will therefore have clear benefits to the Reform Enabler: Workforce Commitment. </w:t>
      </w:r>
    </w:p>
    <w:p w14:paraId="19C83AC1" w14:textId="77777777" w:rsidR="006D056D" w:rsidRDefault="006D056D"/>
    <w:sectPr w:rsidR="006D0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18F51" w14:textId="77777777" w:rsidR="007D4367" w:rsidRDefault="007D4367" w:rsidP="007D4367">
      <w:pPr>
        <w:spacing w:after="0" w:line="240" w:lineRule="auto"/>
      </w:pPr>
      <w:r>
        <w:separator/>
      </w:r>
    </w:p>
  </w:endnote>
  <w:endnote w:type="continuationSeparator" w:id="0">
    <w:p w14:paraId="7D8F0CF5" w14:textId="77777777" w:rsidR="007D4367" w:rsidRDefault="007D4367" w:rsidP="007D4367">
      <w:pPr>
        <w:spacing w:after="0" w:line="240" w:lineRule="auto"/>
      </w:pPr>
      <w:r>
        <w:continuationSeparator/>
      </w:r>
    </w:p>
  </w:endnote>
  <w:endnote w:type="continuationNotice" w:id="1">
    <w:p w14:paraId="73A627BE" w14:textId="77777777" w:rsidR="00B647D7" w:rsidRDefault="00B64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3AECE" w14:textId="77777777" w:rsidR="007D4367" w:rsidRDefault="007D4367" w:rsidP="007D4367">
      <w:pPr>
        <w:spacing w:after="0" w:line="240" w:lineRule="auto"/>
      </w:pPr>
      <w:r>
        <w:separator/>
      </w:r>
    </w:p>
  </w:footnote>
  <w:footnote w:type="continuationSeparator" w:id="0">
    <w:p w14:paraId="773DA7C6" w14:textId="77777777" w:rsidR="007D4367" w:rsidRDefault="007D4367" w:rsidP="007D4367">
      <w:pPr>
        <w:spacing w:after="0" w:line="240" w:lineRule="auto"/>
      </w:pPr>
      <w:r>
        <w:continuationSeparator/>
      </w:r>
    </w:p>
  </w:footnote>
  <w:footnote w:type="continuationNotice" w:id="1">
    <w:p w14:paraId="41D325DC" w14:textId="77777777" w:rsidR="00B647D7" w:rsidRDefault="00B647D7">
      <w:pPr>
        <w:spacing w:after="0" w:line="240" w:lineRule="auto"/>
      </w:pPr>
    </w:p>
  </w:footnote>
  <w:footnote w:id="2">
    <w:p w14:paraId="0723F801" w14:textId="77777777" w:rsidR="007D4367" w:rsidRDefault="007D4367" w:rsidP="007D4367">
      <w:pPr>
        <w:pStyle w:val="FootnoteText"/>
      </w:pPr>
      <w:r>
        <w:rPr>
          <w:rStyle w:val="FootnoteReference"/>
        </w:rPr>
        <w:footnoteRef/>
      </w:r>
      <w:r>
        <w:t xml:space="preserve"> </w:t>
      </w:r>
      <w:r>
        <w:fldChar w:fldCharType="begin"/>
      </w:r>
      <w:r>
        <w:instrText xml:space="preserve"> ADDIN ZOTERO_ITEM CSL_CITATION {"citationID":"HVHwhtO8","properties":{"formattedCitation":"Simon L Albrecht, Sarah Furlong and Michael P Leiter, \\uc0\\u8216{}The Psychological Conditions for Employee Engagement in Organizational Change: Test of a Change Engagement Model\\uc0\\u8217{} (2023) 14 {\\i{}Frontiers in Psychology} &lt;https://www.frontiersin.org/journals/psychology/articles/10.3389/fpsyg.2023.1071924/full&gt; (\\uc0\\u8216{}The Psychological Conditions for Employee Engagement in Organizational Change\\uc0\\u8217{}).","plainCitation":"Simon L Albrecht, Sarah Furlong and Michael P Leiter, ‘The Psychological Conditions for Employee Engagement in Organizational Change: Test of a Change Engagement Model’ (2023) 14 Frontiers in Psychology &lt;https://www.frontiersin.org/journals/psychology/articles/10.3389/fpsyg.2023.1071924/full&gt; (‘The Psychological Conditions for Employee Engagement in Organizational Change’).","noteIndex":1},"citationItems":[{"id":1931,"uris":["http://zotero.org/groups/5444972/items/9Q66LV5K"],"itemData":{"id":1931,"type":"article-journal","abstract":"&lt;p&gt;In the contemporary world of work, organizational change is a constant. For change to be successful, employees need to be positive about implementing organizational change. Change engagement reflects the extent to which employees are enthusiastic about change, and willing to actively involve themselves in promoting and supporting ongoing organizational change. Drawing from Kahn’s engagement theory, the research aimed to assess the influence of change-related meaningful work, psychological safety, and self-efficacy as psychological preconditions for change engagement. The study also aimed to test the indirect associations of the change-related psychological preconditions with proactive work behavior through change engagement. Survey data from a Prolific sample (&lt;italic&gt;N&lt;/italic&gt; = 297) were analyzed using confirmatory factor analysis and structural equations modeling. In support of the validity of the model, the results showed that change-related self-efficacy, psychological safety, and meaningfulness had significant direct effects on change engagement, explaining 88% of the variance. The change-related psychological conditions also had significant indirect effects on proactive work behavior through change engagement. The findings therefore suggest that employees who exhibit higher levels of change-related self-efficacy, psychological safety, and work meaningfulness are more likely to support and promote organizational change, and to proactively engage in innovative work behavior. In practical terms, organizations that create the psychological conditions for change could significantly improve employee motivation to change and to innovate, which in turn would increase the likelihood of successful organizational change, and improved organizational competitiveness. Study limitations and directions for future research are discussed.&lt;/p&gt;","container-title":"Frontiers in Psychology","DOI":"10.3389/fpsyg.2023.1071924","ISSN":"1664-1078","journalAbbreviation":"Front. Psychol.","language":"English","note":"publisher: Frontiers","source":"Frontiers","title":"The psychological conditions for employee engagement in organizational change: Test of a change engagement model","title-short":"The psychological conditions for employee engagement in organizational change","URL":"https://www.frontiersin.org/journals/psychology/articles/10.3389/fpsyg.2023.1071924/full","volume":"14","author":[{"family":"Albrecht","given":"Simon L."},{"family":"Furlong","given":"Sarah"},{"family":"Leiter","given":"Michael P."}],"accessed":{"date-parts":[["2024",5,9]]},"issued":{"date-parts":[["2023",1,20]]}}}],"schema":"https://github.com/citation-style-language/schema/raw/master/csl-citation.json"} </w:instrText>
      </w:r>
      <w:r>
        <w:fldChar w:fldCharType="separate"/>
      </w:r>
      <w:r w:rsidRPr="00787E74">
        <w:rPr>
          <w:rFonts w:ascii="Aptos" w:hAnsi="Aptos" w:cs="Times New Roman"/>
          <w:kern w:val="0"/>
        </w:rPr>
        <w:t xml:space="preserve">Simon L Albrecht, Sarah Furlong and Michael P Leiter, ‘The </w:t>
      </w:r>
      <w:r>
        <w:rPr>
          <w:rFonts w:ascii="Aptos" w:hAnsi="Aptos" w:cs="Times New Roman"/>
          <w:kern w:val="0"/>
        </w:rPr>
        <w:t>p</w:t>
      </w:r>
      <w:r w:rsidRPr="00787E74">
        <w:rPr>
          <w:rFonts w:ascii="Aptos" w:hAnsi="Aptos" w:cs="Times New Roman"/>
          <w:kern w:val="0"/>
        </w:rPr>
        <w:t xml:space="preserve">sychological </w:t>
      </w:r>
      <w:r>
        <w:rPr>
          <w:rFonts w:ascii="Aptos" w:hAnsi="Aptos" w:cs="Times New Roman"/>
          <w:kern w:val="0"/>
        </w:rPr>
        <w:t>c</w:t>
      </w:r>
      <w:r w:rsidRPr="00787E74">
        <w:rPr>
          <w:rFonts w:ascii="Aptos" w:hAnsi="Aptos" w:cs="Times New Roman"/>
          <w:kern w:val="0"/>
        </w:rPr>
        <w:t xml:space="preserve">onditions for </w:t>
      </w:r>
      <w:r>
        <w:rPr>
          <w:rFonts w:ascii="Aptos" w:hAnsi="Aptos" w:cs="Times New Roman"/>
          <w:kern w:val="0"/>
        </w:rPr>
        <w:t>e</w:t>
      </w:r>
      <w:r w:rsidRPr="00787E74">
        <w:rPr>
          <w:rFonts w:ascii="Aptos" w:hAnsi="Aptos" w:cs="Times New Roman"/>
          <w:kern w:val="0"/>
        </w:rPr>
        <w:t xml:space="preserve">mployee </w:t>
      </w:r>
      <w:r>
        <w:rPr>
          <w:rFonts w:ascii="Aptos" w:hAnsi="Aptos" w:cs="Times New Roman"/>
          <w:kern w:val="0"/>
        </w:rPr>
        <w:t>e</w:t>
      </w:r>
      <w:r w:rsidRPr="00787E74">
        <w:rPr>
          <w:rFonts w:ascii="Aptos" w:hAnsi="Aptos" w:cs="Times New Roman"/>
          <w:kern w:val="0"/>
        </w:rPr>
        <w:t xml:space="preserve">ngagement in </w:t>
      </w:r>
      <w:r>
        <w:rPr>
          <w:rFonts w:ascii="Aptos" w:hAnsi="Aptos" w:cs="Times New Roman"/>
          <w:kern w:val="0"/>
        </w:rPr>
        <w:t>o</w:t>
      </w:r>
      <w:r w:rsidRPr="00787E74">
        <w:rPr>
          <w:rFonts w:ascii="Aptos" w:hAnsi="Aptos" w:cs="Times New Roman"/>
          <w:kern w:val="0"/>
        </w:rPr>
        <w:t xml:space="preserve">rganizational </w:t>
      </w:r>
      <w:r>
        <w:rPr>
          <w:rFonts w:ascii="Aptos" w:hAnsi="Aptos" w:cs="Times New Roman"/>
          <w:kern w:val="0"/>
        </w:rPr>
        <w:t>c</w:t>
      </w:r>
      <w:r w:rsidRPr="00787E74">
        <w:rPr>
          <w:rFonts w:ascii="Aptos" w:hAnsi="Aptos" w:cs="Times New Roman"/>
          <w:kern w:val="0"/>
        </w:rPr>
        <w:t xml:space="preserve">hange: Test of a </w:t>
      </w:r>
      <w:r>
        <w:rPr>
          <w:rFonts w:ascii="Aptos" w:hAnsi="Aptos" w:cs="Times New Roman"/>
          <w:kern w:val="0"/>
        </w:rPr>
        <w:t>c</w:t>
      </w:r>
      <w:r w:rsidRPr="00787E74">
        <w:rPr>
          <w:rFonts w:ascii="Aptos" w:hAnsi="Aptos" w:cs="Times New Roman"/>
          <w:kern w:val="0"/>
        </w:rPr>
        <w:t xml:space="preserve">hange </w:t>
      </w:r>
      <w:r>
        <w:rPr>
          <w:rFonts w:ascii="Aptos" w:hAnsi="Aptos" w:cs="Times New Roman"/>
          <w:kern w:val="0"/>
        </w:rPr>
        <w:t>e</w:t>
      </w:r>
      <w:r w:rsidRPr="00787E74">
        <w:rPr>
          <w:rFonts w:ascii="Aptos" w:hAnsi="Aptos" w:cs="Times New Roman"/>
          <w:kern w:val="0"/>
        </w:rPr>
        <w:t xml:space="preserve">ngagement </w:t>
      </w:r>
      <w:r>
        <w:rPr>
          <w:rFonts w:ascii="Aptos" w:hAnsi="Aptos" w:cs="Times New Roman"/>
          <w:kern w:val="0"/>
        </w:rPr>
        <w:t>m</w:t>
      </w:r>
      <w:r w:rsidRPr="00787E74">
        <w:rPr>
          <w:rFonts w:ascii="Aptos" w:hAnsi="Aptos" w:cs="Times New Roman"/>
          <w:kern w:val="0"/>
        </w:rPr>
        <w:t xml:space="preserve">odel’ (2023) </w:t>
      </w:r>
      <w:r w:rsidRPr="00787E74">
        <w:rPr>
          <w:rFonts w:ascii="Aptos" w:hAnsi="Aptos" w:cs="Times New Roman"/>
          <w:i/>
          <w:iCs/>
          <w:kern w:val="0"/>
        </w:rPr>
        <w:t>Frontiers in Psychology</w:t>
      </w:r>
      <w:r>
        <w:rPr>
          <w:rFonts w:ascii="Aptos" w:hAnsi="Aptos" w:cs="Times New Roman"/>
          <w:kern w:val="0"/>
        </w:rPr>
        <w:t xml:space="preserve"> 14</w:t>
      </w:r>
      <w:r w:rsidRPr="00787E74">
        <w:rPr>
          <w:rFonts w:ascii="Aptos" w:hAnsi="Aptos" w:cs="Times New Roman"/>
          <w:kern w:val="0"/>
        </w:rPr>
        <w:t xml:space="preserve"> &lt;https://www.frontiersin.org/journals/psychology/articles/10.3389/fpsyg.2023.1071924/full&gt;.</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67"/>
    <w:rsid w:val="00193590"/>
    <w:rsid w:val="001F5514"/>
    <w:rsid w:val="006D056D"/>
    <w:rsid w:val="007D4367"/>
    <w:rsid w:val="00B647D7"/>
    <w:rsid w:val="00CD72EC"/>
    <w:rsid w:val="00D26D74"/>
    <w:rsid w:val="00D42594"/>
    <w:rsid w:val="00DE37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F18C"/>
  <w15:chartTrackingRefBased/>
  <w15:docId w15:val="{DF5ACAC7-FB1E-45C3-93C4-5C2CF351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67"/>
  </w:style>
  <w:style w:type="paragraph" w:styleId="Heading1">
    <w:name w:val="heading 1"/>
    <w:basedOn w:val="Normal"/>
    <w:next w:val="Normal"/>
    <w:link w:val="Heading1Char"/>
    <w:qFormat/>
    <w:rsid w:val="007D4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D4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D4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D4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D4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367"/>
    <w:rPr>
      <w:rFonts w:eastAsiaTheme="majorEastAsia" w:cstheme="majorBidi"/>
      <w:color w:val="272727" w:themeColor="text1" w:themeTint="D8"/>
    </w:rPr>
  </w:style>
  <w:style w:type="paragraph" w:styleId="Title">
    <w:name w:val="Title"/>
    <w:basedOn w:val="Normal"/>
    <w:next w:val="Normal"/>
    <w:link w:val="TitleChar"/>
    <w:uiPriority w:val="10"/>
    <w:qFormat/>
    <w:rsid w:val="007D4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367"/>
    <w:pPr>
      <w:spacing w:before="160"/>
      <w:jc w:val="center"/>
    </w:pPr>
    <w:rPr>
      <w:i/>
      <w:iCs/>
      <w:color w:val="404040" w:themeColor="text1" w:themeTint="BF"/>
    </w:rPr>
  </w:style>
  <w:style w:type="character" w:customStyle="1" w:styleId="QuoteChar">
    <w:name w:val="Quote Char"/>
    <w:basedOn w:val="DefaultParagraphFont"/>
    <w:link w:val="Quote"/>
    <w:uiPriority w:val="29"/>
    <w:rsid w:val="007D4367"/>
    <w:rPr>
      <w:i/>
      <w:iCs/>
      <w:color w:val="404040" w:themeColor="text1" w:themeTint="BF"/>
    </w:rPr>
  </w:style>
  <w:style w:type="paragraph" w:styleId="ListParagraph">
    <w:name w:val="List Paragraph"/>
    <w:aliases w:val="Bullet number"/>
    <w:basedOn w:val="Normal"/>
    <w:uiPriority w:val="99"/>
    <w:qFormat/>
    <w:rsid w:val="007D4367"/>
    <w:pPr>
      <w:ind w:left="720"/>
      <w:contextualSpacing/>
    </w:pPr>
  </w:style>
  <w:style w:type="character" w:styleId="IntenseEmphasis">
    <w:name w:val="Intense Emphasis"/>
    <w:basedOn w:val="DefaultParagraphFont"/>
    <w:uiPriority w:val="21"/>
    <w:qFormat/>
    <w:rsid w:val="007D4367"/>
    <w:rPr>
      <w:i/>
      <w:iCs/>
      <w:color w:val="0F4761" w:themeColor="accent1" w:themeShade="BF"/>
    </w:rPr>
  </w:style>
  <w:style w:type="paragraph" w:styleId="IntenseQuote">
    <w:name w:val="Intense Quote"/>
    <w:basedOn w:val="Normal"/>
    <w:next w:val="Normal"/>
    <w:link w:val="IntenseQuoteChar"/>
    <w:uiPriority w:val="30"/>
    <w:qFormat/>
    <w:rsid w:val="007D4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367"/>
    <w:rPr>
      <w:i/>
      <w:iCs/>
      <w:color w:val="0F4761" w:themeColor="accent1" w:themeShade="BF"/>
    </w:rPr>
  </w:style>
  <w:style w:type="character" w:styleId="IntenseReference">
    <w:name w:val="Intense Reference"/>
    <w:basedOn w:val="DefaultParagraphFont"/>
    <w:uiPriority w:val="32"/>
    <w:qFormat/>
    <w:rsid w:val="007D4367"/>
    <w:rPr>
      <w:b/>
      <w:bCs/>
      <w:smallCaps/>
      <w:color w:val="0F4761" w:themeColor="accent1" w:themeShade="BF"/>
      <w:spacing w:val="5"/>
    </w:rPr>
  </w:style>
  <w:style w:type="paragraph" w:styleId="FootnoteText">
    <w:name w:val="footnote text"/>
    <w:basedOn w:val="Normal"/>
    <w:link w:val="FootnoteTextChar"/>
    <w:uiPriority w:val="99"/>
    <w:unhideWhenUsed/>
    <w:qFormat/>
    <w:rsid w:val="007D4367"/>
    <w:pPr>
      <w:spacing w:after="0" w:line="240" w:lineRule="auto"/>
    </w:pPr>
    <w:rPr>
      <w:sz w:val="20"/>
      <w:szCs w:val="20"/>
    </w:rPr>
  </w:style>
  <w:style w:type="character" w:customStyle="1" w:styleId="FootnoteTextChar">
    <w:name w:val="Footnote Text Char"/>
    <w:basedOn w:val="DefaultParagraphFont"/>
    <w:link w:val="FootnoteText"/>
    <w:uiPriority w:val="99"/>
    <w:rsid w:val="007D4367"/>
    <w:rPr>
      <w:sz w:val="20"/>
      <w:szCs w:val="20"/>
    </w:rPr>
  </w:style>
  <w:style w:type="character" w:styleId="FootnoteReference">
    <w:name w:val="footnote reference"/>
    <w:basedOn w:val="DefaultParagraphFont"/>
    <w:uiPriority w:val="99"/>
    <w:semiHidden/>
    <w:unhideWhenUsed/>
    <w:qFormat/>
    <w:rsid w:val="007D4367"/>
    <w:rPr>
      <w:vertAlign w:val="superscript"/>
    </w:rPr>
  </w:style>
  <w:style w:type="paragraph" w:styleId="NoSpacing">
    <w:name w:val="No Spacing"/>
    <w:uiPriority w:val="1"/>
    <w:qFormat/>
    <w:rsid w:val="007D4367"/>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7D436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Header">
    <w:name w:val="header"/>
    <w:basedOn w:val="Normal"/>
    <w:link w:val="HeaderChar"/>
    <w:uiPriority w:val="99"/>
    <w:semiHidden/>
    <w:unhideWhenUsed/>
    <w:rsid w:val="00B647D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647D7"/>
  </w:style>
  <w:style w:type="paragraph" w:styleId="Footer">
    <w:name w:val="footer"/>
    <w:basedOn w:val="Normal"/>
    <w:link w:val="FooterChar"/>
    <w:uiPriority w:val="99"/>
    <w:semiHidden/>
    <w:unhideWhenUsed/>
    <w:rsid w:val="00B647D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64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436D1-2AB8-4CEE-9188-611481DF07ED}">
  <ds:schemaRefs>
    <ds:schemaRef ds:uri="http://purl.org/dc/elements/1.1/"/>
    <ds:schemaRef ds:uri="http://schemas.microsoft.com/office/2006/metadata/properties"/>
    <ds:schemaRef ds:uri="c797cc59-9b55-482b-909b-1e567b47f3ea"/>
    <ds:schemaRef ds:uri="http://schemas.microsoft.com/office/infopath/2007/PartnerControls"/>
    <ds:schemaRef ds:uri="ce9ed8c2-7c4f-476e-aabf-c40a33b19a18"/>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CF6735F-714D-47CF-BDB6-A5FA6F681AE3}">
  <ds:schemaRefs>
    <ds:schemaRef ds:uri="http://schemas.microsoft.com/sharepoint/v3/contenttype/forms"/>
  </ds:schemaRefs>
</ds:datastoreItem>
</file>

<file path=customXml/itemProps3.xml><?xml version="1.0" encoding="utf-8"?>
<ds:datastoreItem xmlns:ds="http://schemas.openxmlformats.org/officeDocument/2006/customXml" ds:itemID="{5522756F-2835-41DD-A4F0-DC2425CA8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1315</Words>
  <Characters>7500</Characters>
  <Application>Microsoft Office Word</Application>
  <DocSecurity>0</DocSecurity>
  <Lines>62</Lines>
  <Paragraphs>17</Paragraphs>
  <ScaleCrop>false</ScaleCrop>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3</cp:revision>
  <dcterms:created xsi:type="dcterms:W3CDTF">2025-01-07T22:53:00Z</dcterms:created>
  <dcterms:modified xsi:type="dcterms:W3CDTF">2025-01-08T01:19:00Z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