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F4FFE8" w14:textId="77777777" w:rsidR="005B0663" w:rsidRPr="00EF0705" w:rsidRDefault="005B0663" w:rsidP="005B0663">
      <w:pPr>
        <w:pStyle w:val="Heading1"/>
      </w:pPr>
      <w:r w:rsidRPr="5B7A8CB5">
        <w:rPr>
          <w:lang w:val="en-US"/>
        </w:rPr>
        <w:t xml:space="preserve">Recommendation 41: </w:t>
      </w:r>
      <w:r w:rsidRPr="00BB1070">
        <w:t>Board learning through reflective practice</w:t>
      </w:r>
    </w:p>
    <w:p w14:paraId="090A3656" w14:textId="77777777" w:rsidR="005B0663" w:rsidRPr="00303FDD" w:rsidRDefault="005B0663" w:rsidP="005B0663">
      <w:pPr>
        <w:pStyle w:val="paragraph"/>
        <w:spacing w:before="0" w:beforeAutospacing="0" w:line="276" w:lineRule="auto"/>
        <w:rPr>
          <w:rFonts w:ascii="Segoe UI" w:hAnsi="Segoe UI" w:cs="Segoe UI"/>
          <w:sz w:val="22"/>
          <w:szCs w:val="22"/>
          <w:lang w:val="en-US"/>
        </w:rPr>
      </w:pPr>
      <w:r w:rsidRPr="00303FDD">
        <w:rPr>
          <w:rFonts w:ascii="Segoe UI" w:hAnsi="Segoe UI" w:cs="Segoe UI"/>
          <w:sz w:val="22"/>
          <w:szCs w:val="22"/>
        </w:rPr>
        <w:t xml:space="preserve">Recommendation 41 requires the Ambulance Victoria Board to understand the drivers of </w:t>
      </w:r>
      <w:r w:rsidRPr="00303FDD">
        <w:rPr>
          <w:rFonts w:ascii="Segoe UI" w:hAnsi="Segoe UI" w:cs="Segoe UI"/>
          <w:sz w:val="22"/>
          <w:szCs w:val="22"/>
          <w:lang w:val="en-US"/>
        </w:rPr>
        <w:t>discrimination, sexual harassment, bullying and victimisation identified in the Commission’s Phase 1 Report. Through a reflective facilitated workshop, the Board should review and discuss how these drivers have shaped the Board’s oversight of workplace equality and the workforce’s experiences of workplace equality</w:t>
      </w:r>
      <w:r>
        <w:rPr>
          <w:rFonts w:ascii="Segoe UI" w:hAnsi="Segoe UI" w:cs="Segoe UI"/>
          <w:sz w:val="22"/>
          <w:szCs w:val="22"/>
          <w:lang w:val="en-US"/>
        </w:rPr>
        <w:t>,</w:t>
      </w:r>
      <w:r w:rsidRPr="00303FDD">
        <w:rPr>
          <w:rFonts w:ascii="Segoe UI" w:hAnsi="Segoe UI" w:cs="Segoe UI"/>
          <w:sz w:val="22"/>
          <w:szCs w:val="22"/>
          <w:lang w:val="en-US"/>
        </w:rPr>
        <w:t xml:space="preserve"> how the drivers may influence reform implementation and how they may affect other interdependent aspects of organisational performance.</w:t>
      </w:r>
    </w:p>
    <w:p w14:paraId="67D3268E" w14:textId="77777777" w:rsidR="005B0663" w:rsidRDefault="005B0663" w:rsidP="005B0663">
      <w:pPr>
        <w:pStyle w:val="paragraph"/>
        <w:spacing w:before="0" w:beforeAutospacing="0" w:line="276" w:lineRule="auto"/>
        <w:rPr>
          <w:lang w:val="en-US"/>
        </w:rPr>
      </w:pPr>
      <w:r>
        <w:rPr>
          <w:rFonts w:ascii="Segoe UI" w:eastAsiaTheme="majorEastAsia" w:hAnsi="Segoe UI" w:cs="Segoe UI"/>
          <w:sz w:val="22"/>
          <w:szCs w:val="22"/>
        </w:rPr>
        <w:t>In</w:t>
      </w:r>
      <w:r w:rsidRPr="000D46FC">
        <w:rPr>
          <w:rFonts w:ascii="Segoe UI" w:eastAsiaTheme="majorEastAsia" w:hAnsi="Segoe UI" w:cs="Segoe UI"/>
          <w:sz w:val="22"/>
          <w:szCs w:val="22"/>
        </w:rPr>
        <w:t xml:space="preserve"> June 2022 </w:t>
      </w:r>
      <w:r w:rsidRPr="00303FDD">
        <w:rPr>
          <w:rFonts w:ascii="Segoe UI" w:hAnsi="Segoe UI" w:cs="Segoe UI"/>
          <w:sz w:val="22"/>
          <w:szCs w:val="22"/>
        </w:rPr>
        <w:t>during</w:t>
      </w:r>
      <w:r>
        <w:rPr>
          <w:rFonts w:ascii="Segoe UI" w:eastAsiaTheme="majorEastAsia" w:hAnsi="Segoe UI" w:cs="Segoe UI"/>
          <w:sz w:val="22"/>
          <w:szCs w:val="22"/>
        </w:rPr>
        <w:t xml:space="preserve"> Phase 2 of the Review, Ambulance Victoria sought advice from the Commission on a</w:t>
      </w:r>
      <w:r w:rsidRPr="000D46FC">
        <w:rPr>
          <w:rFonts w:ascii="Segoe UI" w:eastAsiaTheme="majorEastAsia" w:hAnsi="Segoe UI" w:cs="Segoe UI"/>
          <w:sz w:val="22"/>
          <w:szCs w:val="22"/>
        </w:rPr>
        <w:t xml:space="preserve"> proposed approach to engaging in reflective practice specifically at the Board level</w:t>
      </w:r>
      <w:r>
        <w:rPr>
          <w:rFonts w:ascii="Segoe UI" w:eastAsiaTheme="majorEastAsia" w:hAnsi="Segoe UI" w:cs="Segoe UI"/>
          <w:sz w:val="22"/>
          <w:szCs w:val="22"/>
        </w:rPr>
        <w:t>.</w:t>
      </w:r>
      <w:r w:rsidRPr="000D46FC">
        <w:rPr>
          <w:rFonts w:ascii="Segoe UI" w:eastAsiaTheme="majorEastAsia" w:hAnsi="Segoe UI" w:cs="Segoe UI"/>
          <w:sz w:val="22"/>
          <w:szCs w:val="22"/>
        </w:rPr>
        <w:t xml:space="preserve"> </w:t>
      </w:r>
      <w:r>
        <w:rPr>
          <w:rFonts w:ascii="Segoe UI" w:eastAsiaTheme="majorEastAsia" w:hAnsi="Segoe UI" w:cs="Segoe UI"/>
          <w:sz w:val="22"/>
          <w:szCs w:val="22"/>
        </w:rPr>
        <w:t xml:space="preserve">The approach proposed </w:t>
      </w:r>
      <w:r w:rsidRPr="000D46FC">
        <w:rPr>
          <w:rFonts w:ascii="Segoe UI" w:eastAsiaTheme="majorEastAsia" w:hAnsi="Segoe UI" w:cs="Segoe UI"/>
          <w:sz w:val="22"/>
          <w:szCs w:val="22"/>
        </w:rPr>
        <w:t>include</w:t>
      </w:r>
      <w:r>
        <w:rPr>
          <w:rFonts w:ascii="Segoe UI" w:eastAsiaTheme="majorEastAsia" w:hAnsi="Segoe UI" w:cs="Segoe UI"/>
          <w:sz w:val="22"/>
          <w:szCs w:val="22"/>
        </w:rPr>
        <w:t>d</w:t>
      </w:r>
      <w:r w:rsidRPr="000D46FC">
        <w:rPr>
          <w:rFonts w:ascii="Segoe UI" w:eastAsiaTheme="majorEastAsia" w:hAnsi="Segoe UI" w:cs="Segoe UI"/>
          <w:sz w:val="22"/>
          <w:szCs w:val="22"/>
        </w:rPr>
        <w:t xml:space="preserve"> key deliverables of the core process, a method for a cyclical ‘deep dive’ review of the process and the development of a framework. The Commission’s response to this request for advice was positive and specified that the approach align</w:t>
      </w:r>
      <w:r>
        <w:rPr>
          <w:rFonts w:ascii="Segoe UI" w:eastAsiaTheme="majorEastAsia" w:hAnsi="Segoe UI" w:cs="Segoe UI"/>
          <w:sz w:val="22"/>
          <w:szCs w:val="22"/>
        </w:rPr>
        <w:t>ed</w:t>
      </w:r>
      <w:r w:rsidRPr="000D46FC">
        <w:rPr>
          <w:rFonts w:ascii="Segoe UI" w:eastAsiaTheme="majorEastAsia" w:hAnsi="Segoe UI" w:cs="Segoe UI"/>
          <w:sz w:val="22"/>
          <w:szCs w:val="22"/>
        </w:rPr>
        <w:t xml:space="preserve"> with the intent of the Commission’s recommendation.</w:t>
      </w:r>
    </w:p>
    <w:p w14:paraId="2A7B00F6" w14:textId="77777777" w:rsidR="005B0663" w:rsidRPr="008B61E9" w:rsidRDefault="005B0663" w:rsidP="005B0663">
      <w:pPr>
        <w:pStyle w:val="Heading2"/>
        <w:rPr>
          <w:rStyle w:val="Emphasis"/>
          <w:i w:val="0"/>
          <w:iCs w:val="0"/>
        </w:rPr>
      </w:pPr>
      <w:bookmarkStart w:id="0" w:name="_Toc184117775"/>
      <w:bookmarkStart w:id="1" w:name="_Toc184136210"/>
      <w:r w:rsidRPr="008B61E9">
        <w:rPr>
          <w:rStyle w:val="Emphasis"/>
        </w:rPr>
        <w:t>Recommendation intent and why it matters</w:t>
      </w:r>
      <w:bookmarkEnd w:id="0"/>
      <w:bookmarkEnd w:id="1"/>
    </w:p>
    <w:p w14:paraId="4BE09C02" w14:textId="77777777" w:rsidR="005B0663" w:rsidRPr="002E7607" w:rsidRDefault="005B0663" w:rsidP="005B0663">
      <w:pPr>
        <w:pStyle w:val="paragraph"/>
        <w:spacing w:before="0" w:beforeAutospacing="0" w:line="276" w:lineRule="auto"/>
        <w:rPr>
          <w:rFonts w:ascii="Segoe UI" w:hAnsi="Segoe UI" w:cs="Segoe UI"/>
          <w:sz w:val="22"/>
          <w:szCs w:val="22"/>
        </w:rPr>
      </w:pPr>
      <w:r w:rsidRPr="002E7607">
        <w:rPr>
          <w:rFonts w:ascii="Segoe UI" w:hAnsi="Segoe UI" w:cs="Segoe UI"/>
          <w:sz w:val="22"/>
          <w:szCs w:val="22"/>
          <w:lang w:val="en-US"/>
        </w:rPr>
        <w:t xml:space="preserve">The </w:t>
      </w:r>
      <w:r w:rsidRPr="002E7607">
        <w:rPr>
          <w:rFonts w:ascii="Segoe UI" w:hAnsi="Segoe UI" w:cs="Segoe UI"/>
          <w:sz w:val="22"/>
          <w:szCs w:val="22"/>
        </w:rPr>
        <w:t>positive</w:t>
      </w:r>
      <w:r w:rsidRPr="002E7607">
        <w:rPr>
          <w:rFonts w:ascii="Segoe UI" w:hAnsi="Segoe UI" w:cs="Segoe UI"/>
          <w:sz w:val="22"/>
          <w:szCs w:val="22"/>
          <w:lang w:val="en-US"/>
        </w:rPr>
        <w:t xml:space="preserve"> duty</w:t>
      </w:r>
      <w:r w:rsidRPr="002E7607">
        <w:rPr>
          <w:rStyle w:val="FootnoteReference"/>
          <w:rFonts w:ascii="Segoe UI" w:hAnsi="Segoe UI" w:cs="Segoe UI"/>
          <w:sz w:val="22"/>
          <w:szCs w:val="22"/>
          <w:lang w:val="en-US"/>
        </w:rPr>
        <w:footnoteReference w:id="2"/>
      </w:r>
      <w:r w:rsidRPr="002E7607">
        <w:rPr>
          <w:rFonts w:ascii="Segoe UI" w:hAnsi="Segoe UI" w:cs="Segoe UI"/>
          <w:sz w:val="22"/>
          <w:szCs w:val="22"/>
          <w:lang w:val="en-US"/>
        </w:rPr>
        <w:t xml:space="preserve"> under the </w:t>
      </w:r>
      <w:r w:rsidRPr="002E7607">
        <w:rPr>
          <w:rFonts w:ascii="Segoe UI" w:hAnsi="Segoe UI" w:cs="Segoe UI"/>
          <w:i/>
          <w:iCs/>
          <w:sz w:val="22"/>
          <w:szCs w:val="22"/>
          <w:lang w:val="en-US"/>
        </w:rPr>
        <w:t>Equal Opportunity Act</w:t>
      </w:r>
      <w:r w:rsidRPr="002E7607">
        <w:rPr>
          <w:rFonts w:ascii="Segoe UI" w:hAnsi="Segoe UI" w:cs="Segoe UI"/>
          <w:sz w:val="22"/>
          <w:szCs w:val="22"/>
          <w:lang w:val="en-US"/>
        </w:rPr>
        <w:t xml:space="preserve"> </w:t>
      </w:r>
      <w:r w:rsidRPr="002E7607">
        <w:rPr>
          <w:rFonts w:ascii="Segoe UI" w:hAnsi="Segoe UI" w:cs="Segoe UI"/>
          <w:i/>
          <w:iCs/>
          <w:sz w:val="22"/>
          <w:szCs w:val="22"/>
          <w:lang w:val="en-US"/>
        </w:rPr>
        <w:t xml:space="preserve">2010 </w:t>
      </w:r>
      <w:r w:rsidRPr="002E7607">
        <w:rPr>
          <w:rFonts w:ascii="Segoe UI" w:hAnsi="Segoe UI" w:cs="Segoe UI"/>
          <w:sz w:val="22"/>
          <w:szCs w:val="22"/>
          <w:lang w:val="en-US"/>
        </w:rPr>
        <w:t>(Vic) requires reasonable and proportionate measures to eliminate unlawful discrimination and sexual harassment as far as possible</w:t>
      </w:r>
      <w:r w:rsidRPr="002E7607">
        <w:rPr>
          <w:rFonts w:ascii="Segoe UI" w:hAnsi="Segoe UI" w:cs="Segoe UI"/>
          <w:sz w:val="22"/>
          <w:szCs w:val="22"/>
        </w:rPr>
        <w:t xml:space="preserve">. See section 3.2.1 of the </w:t>
      </w:r>
      <w:r w:rsidRPr="00201A9D">
        <w:rPr>
          <w:rFonts w:ascii="Segoe UI" w:hAnsi="Segoe UI" w:cs="Segoe UI"/>
          <w:color w:val="0000FF"/>
          <w:sz w:val="22"/>
          <w:szCs w:val="22"/>
          <w:u w:val="single"/>
        </w:rPr>
        <w:t>Phase 1 Report</w:t>
      </w:r>
      <w:r w:rsidRPr="002E7607">
        <w:rPr>
          <w:rFonts w:ascii="Segoe UI" w:hAnsi="Segoe UI" w:cs="Segoe UI"/>
          <w:sz w:val="22"/>
          <w:szCs w:val="22"/>
          <w:u w:val="single"/>
        </w:rPr>
        <w:t>.</w:t>
      </w:r>
    </w:p>
    <w:p w14:paraId="02CDCCE0" w14:textId="77777777" w:rsidR="005B0663" w:rsidRPr="002E7607" w:rsidRDefault="005B0663" w:rsidP="005B0663">
      <w:pPr>
        <w:pStyle w:val="paragraph"/>
        <w:spacing w:before="0" w:beforeAutospacing="0" w:line="276" w:lineRule="auto"/>
        <w:rPr>
          <w:rFonts w:ascii="Segoe UI" w:hAnsi="Segoe UI" w:cs="Segoe UI"/>
          <w:sz w:val="22"/>
          <w:szCs w:val="22"/>
        </w:rPr>
      </w:pPr>
      <w:r w:rsidRPr="002E7607">
        <w:rPr>
          <w:rFonts w:ascii="Segoe UI" w:hAnsi="Segoe UI" w:cs="Segoe UI"/>
          <w:sz w:val="22"/>
          <w:szCs w:val="22"/>
          <w:lang w:val="en-US"/>
        </w:rPr>
        <w:t>Reflective</w:t>
      </w:r>
      <w:r w:rsidRPr="002E7607">
        <w:rPr>
          <w:rFonts w:ascii="Segoe UI" w:hAnsi="Segoe UI" w:cs="Segoe UI"/>
          <w:sz w:val="22"/>
          <w:szCs w:val="22"/>
        </w:rPr>
        <w:t xml:space="preserve"> practices will ensure that Ambulance Victoria has a clear understanding of the current barriers to positive duty compliance and enable the organisation to develop effective measures to eliminate unlawful conduct as far as possible. </w:t>
      </w:r>
      <w:r w:rsidRPr="002E7607">
        <w:rPr>
          <w:rFonts w:ascii="Segoe UI" w:hAnsi="Segoe UI" w:cs="Segoe UI"/>
          <w:sz w:val="22"/>
          <w:szCs w:val="22"/>
          <w:lang w:val="en-US"/>
        </w:rPr>
        <w:t>It is reasonable and proportionate for an organisation of Ambulance Victoria’s size to ensure that these measures are informed and effective.</w:t>
      </w:r>
    </w:p>
    <w:p w14:paraId="2C39602E" w14:textId="77777777" w:rsidR="005B0663" w:rsidRPr="00201A9D" w:rsidRDefault="005B0663" w:rsidP="005B0663">
      <w:pPr>
        <w:pStyle w:val="paragraph"/>
        <w:spacing w:before="0" w:beforeAutospacing="0" w:line="276" w:lineRule="auto"/>
        <w:rPr>
          <w:rFonts w:ascii="Segoe UI" w:hAnsi="Segoe UI" w:cs="Segoe UI"/>
          <w:sz w:val="22"/>
          <w:szCs w:val="22"/>
        </w:rPr>
      </w:pPr>
      <w:r w:rsidRPr="00201A9D">
        <w:rPr>
          <w:rFonts w:ascii="Segoe UI" w:hAnsi="Segoe UI" w:cs="Segoe UI"/>
          <w:sz w:val="22"/>
          <w:szCs w:val="22"/>
          <w:lang w:val="en-US"/>
        </w:rPr>
        <w:t>Recommendation</w:t>
      </w:r>
      <w:r w:rsidRPr="00201A9D">
        <w:rPr>
          <w:rFonts w:ascii="Segoe UI" w:hAnsi="Segoe UI" w:cs="Segoe UI"/>
          <w:sz w:val="22"/>
          <w:szCs w:val="22"/>
        </w:rPr>
        <w:t xml:space="preserve"> 41, along with Recommendation 1: Learning through reflective practice and Recommendation 42: Organisational healing and cultural change through reflective practice, seeks to embed reflective practice as a tool for listening into the workplace reform programs. </w:t>
      </w:r>
    </w:p>
    <w:p w14:paraId="302B7E09" w14:textId="77777777" w:rsidR="005B0663" w:rsidRPr="00EF0705" w:rsidRDefault="005B0663" w:rsidP="005B0663">
      <w:pPr>
        <w:pStyle w:val="Heading2"/>
      </w:pPr>
      <w:bookmarkStart w:id="2" w:name="_Toc184117776"/>
      <w:bookmarkStart w:id="3" w:name="_Toc184136211"/>
      <w:r w:rsidRPr="3DFECC7F">
        <w:lastRenderedPageBreak/>
        <w:t>Findings</w:t>
      </w:r>
      <w:bookmarkEnd w:id="2"/>
      <w:bookmarkEnd w:id="3"/>
    </w:p>
    <w:p w14:paraId="0F8EE807" w14:textId="77777777" w:rsidR="005B0663" w:rsidRPr="00EF0705" w:rsidRDefault="005B0663" w:rsidP="005B0663">
      <w:pPr>
        <w:pStyle w:val="Heading3"/>
      </w:pPr>
      <w:bookmarkStart w:id="4" w:name="_Toc184117777"/>
      <w:bookmarkStart w:id="5" w:name="_Toc184136212"/>
      <w:r w:rsidRPr="3DFECC7F">
        <w:t xml:space="preserve">What we found in </w:t>
      </w:r>
      <w:r>
        <w:t>Phase 1 of the Review</w:t>
      </w:r>
      <w:bookmarkEnd w:id="4"/>
      <w:bookmarkEnd w:id="5"/>
    </w:p>
    <w:p w14:paraId="78681654" w14:textId="77777777" w:rsidR="005B0663" w:rsidRDefault="005B0663" w:rsidP="005B0663">
      <w:pPr>
        <w:pStyle w:val="paragraph"/>
        <w:spacing w:before="0" w:beforeAutospacing="0" w:line="276" w:lineRule="auto"/>
        <w:rPr>
          <w:rFonts w:ascii="Segoe UI" w:eastAsiaTheme="majorEastAsia" w:hAnsi="Segoe UI" w:cs="Segoe UI"/>
          <w:sz w:val="22"/>
          <w:szCs w:val="22"/>
        </w:rPr>
      </w:pPr>
      <w:r>
        <w:rPr>
          <w:rFonts w:ascii="Segoe UI" w:eastAsiaTheme="majorEastAsia" w:hAnsi="Segoe UI" w:cs="Segoe UI"/>
          <w:sz w:val="22"/>
          <w:szCs w:val="22"/>
        </w:rPr>
        <w:t xml:space="preserve">In Phase 1 of </w:t>
      </w:r>
      <w:r w:rsidRPr="002E7607">
        <w:rPr>
          <w:rFonts w:ascii="Segoe UI" w:hAnsi="Segoe UI" w:cs="Segoe UI"/>
          <w:sz w:val="22"/>
          <w:szCs w:val="22"/>
        </w:rPr>
        <w:t>the</w:t>
      </w:r>
      <w:r>
        <w:rPr>
          <w:rFonts w:ascii="Segoe UI" w:eastAsiaTheme="majorEastAsia" w:hAnsi="Segoe UI" w:cs="Segoe UI"/>
          <w:sz w:val="22"/>
          <w:szCs w:val="22"/>
        </w:rPr>
        <w:t xml:space="preserve"> Review,</w:t>
      </w:r>
      <w:r>
        <w:rPr>
          <w:rStyle w:val="FootnoteReference"/>
          <w:rFonts w:eastAsiaTheme="majorEastAsia"/>
          <w:sz w:val="22"/>
          <w:szCs w:val="22"/>
        </w:rPr>
        <w:footnoteReference w:id="3"/>
      </w:r>
      <w:r>
        <w:rPr>
          <w:rFonts w:ascii="Segoe UI" w:eastAsiaTheme="majorEastAsia" w:hAnsi="Segoe UI" w:cs="Segoe UI"/>
          <w:sz w:val="22"/>
          <w:szCs w:val="22"/>
        </w:rPr>
        <w:t xml:space="preserve"> t</w:t>
      </w:r>
      <w:r w:rsidRPr="00CC7766">
        <w:rPr>
          <w:rFonts w:ascii="Segoe UI" w:eastAsiaTheme="majorEastAsia" w:hAnsi="Segoe UI" w:cs="Segoe UI"/>
          <w:sz w:val="22"/>
          <w:szCs w:val="22"/>
        </w:rPr>
        <w:t xml:space="preserve">he Commission </w:t>
      </w:r>
      <w:r>
        <w:rPr>
          <w:rFonts w:ascii="Segoe UI" w:eastAsiaTheme="majorEastAsia" w:hAnsi="Segoe UI" w:cs="Segoe UI"/>
          <w:sz w:val="22"/>
          <w:szCs w:val="22"/>
        </w:rPr>
        <w:t xml:space="preserve">found preventive measures towards workplace safety and equality were limited by the organisation-wide lack of understanding of the drivers of </w:t>
      </w:r>
      <w:r w:rsidRPr="004C03BE">
        <w:rPr>
          <w:rFonts w:ascii="Segoe UI" w:eastAsiaTheme="majorEastAsia" w:hAnsi="Segoe UI" w:cs="Segoe UI"/>
          <w:sz w:val="22"/>
          <w:szCs w:val="22"/>
        </w:rPr>
        <w:t>discrimination, sexual harassment, bullying and victimisation</w:t>
      </w:r>
      <w:r>
        <w:rPr>
          <w:rFonts w:ascii="Segoe UI" w:eastAsiaTheme="majorEastAsia" w:hAnsi="Segoe UI" w:cs="Segoe UI"/>
          <w:sz w:val="22"/>
          <w:szCs w:val="22"/>
        </w:rPr>
        <w:t xml:space="preserve">. See section 13.4.2 of the </w:t>
      </w:r>
      <w:r w:rsidRPr="00201A9D">
        <w:rPr>
          <w:rFonts w:ascii="Segoe UI" w:eastAsiaTheme="majorEastAsia" w:hAnsi="Segoe UI" w:cs="Segoe UI"/>
          <w:color w:val="0000FF"/>
          <w:sz w:val="22"/>
          <w:szCs w:val="22"/>
          <w:u w:val="single"/>
        </w:rPr>
        <w:t>Phase 1 Report</w:t>
      </w:r>
      <w:r>
        <w:rPr>
          <w:rFonts w:ascii="Segoe UI" w:eastAsiaTheme="majorEastAsia" w:hAnsi="Segoe UI" w:cs="Segoe UI"/>
          <w:sz w:val="22"/>
          <w:szCs w:val="22"/>
        </w:rPr>
        <w:t>.</w:t>
      </w:r>
    </w:p>
    <w:p w14:paraId="4C2D80C9" w14:textId="77777777" w:rsidR="005B0663" w:rsidRDefault="005B0663" w:rsidP="005B0663">
      <w:pPr>
        <w:pStyle w:val="paragraph"/>
        <w:spacing w:before="0" w:beforeAutospacing="0" w:line="276" w:lineRule="auto"/>
        <w:rPr>
          <w:rFonts w:ascii="Segoe UI" w:eastAsiaTheme="majorEastAsia" w:hAnsi="Segoe UI" w:cs="Segoe UI"/>
          <w:sz w:val="22"/>
          <w:szCs w:val="22"/>
        </w:rPr>
      </w:pPr>
      <w:r>
        <w:rPr>
          <w:rFonts w:ascii="Segoe UI" w:eastAsiaTheme="majorEastAsia" w:hAnsi="Segoe UI" w:cs="Segoe UI"/>
          <w:sz w:val="22"/>
          <w:szCs w:val="22"/>
        </w:rPr>
        <w:t xml:space="preserve">Recommendation 41 </w:t>
      </w:r>
      <w:r w:rsidRPr="002E7607">
        <w:rPr>
          <w:rFonts w:ascii="Segoe UI" w:hAnsi="Segoe UI" w:cs="Segoe UI"/>
          <w:sz w:val="22"/>
          <w:szCs w:val="22"/>
        </w:rPr>
        <w:t>recognises</w:t>
      </w:r>
      <w:r>
        <w:rPr>
          <w:rFonts w:ascii="Segoe UI" w:eastAsiaTheme="majorEastAsia" w:hAnsi="Segoe UI" w:cs="Segoe UI"/>
          <w:sz w:val="22"/>
          <w:szCs w:val="22"/>
        </w:rPr>
        <w:t xml:space="preserve"> the importance of </w:t>
      </w:r>
      <w:r w:rsidRPr="00CC7766">
        <w:rPr>
          <w:rFonts w:ascii="Segoe UI" w:eastAsiaTheme="majorEastAsia" w:hAnsi="Segoe UI" w:cs="Segoe UI"/>
          <w:sz w:val="22"/>
          <w:szCs w:val="22"/>
        </w:rPr>
        <w:t>reflecti</w:t>
      </w:r>
      <w:r>
        <w:rPr>
          <w:rFonts w:ascii="Segoe UI" w:eastAsiaTheme="majorEastAsia" w:hAnsi="Segoe UI" w:cs="Segoe UI"/>
          <w:sz w:val="22"/>
          <w:szCs w:val="22"/>
        </w:rPr>
        <w:t>ng</w:t>
      </w:r>
      <w:r w:rsidRPr="00CC7766">
        <w:rPr>
          <w:rFonts w:ascii="Segoe UI" w:eastAsiaTheme="majorEastAsia" w:hAnsi="Segoe UI" w:cs="Segoe UI"/>
          <w:sz w:val="22"/>
          <w:szCs w:val="22"/>
        </w:rPr>
        <w:t xml:space="preserve"> on cultural drivers that have shaped workforce inequality at </w:t>
      </w:r>
      <w:r>
        <w:rPr>
          <w:rFonts w:ascii="Segoe UI" w:eastAsiaTheme="majorEastAsia" w:hAnsi="Segoe UI" w:cs="Segoe UI"/>
          <w:sz w:val="22"/>
          <w:szCs w:val="22"/>
        </w:rPr>
        <w:t>Ambulance Victoria rather than only focusing on solutions.</w:t>
      </w:r>
    </w:p>
    <w:p w14:paraId="08B28AFF" w14:textId="77777777" w:rsidR="005B0663" w:rsidRPr="00EF0705" w:rsidRDefault="005B0663" w:rsidP="005B0663">
      <w:pPr>
        <w:pStyle w:val="Heading3"/>
      </w:pPr>
      <w:bookmarkStart w:id="6" w:name="_Toc184117778"/>
      <w:bookmarkStart w:id="7" w:name="_Toc184136213"/>
      <w:r w:rsidRPr="3DFECC7F">
        <w:t xml:space="preserve">What we found in </w:t>
      </w:r>
      <w:r>
        <w:t>Phase 3 of the Review</w:t>
      </w:r>
      <w:bookmarkEnd w:id="6"/>
      <w:bookmarkEnd w:id="7"/>
    </w:p>
    <w:p w14:paraId="448B024C" w14:textId="77777777" w:rsidR="005B0663" w:rsidRPr="00BE78B5" w:rsidRDefault="005B0663" w:rsidP="005B0663">
      <w:pPr>
        <w:pStyle w:val="paragraph"/>
        <w:rPr>
          <w:rFonts w:ascii="Segoe UI" w:eastAsiaTheme="majorEastAsia" w:hAnsi="Segoe UI" w:cs="Segoe UI"/>
          <w:b/>
          <w:bCs/>
          <w:sz w:val="22"/>
          <w:szCs w:val="22"/>
          <w:lang w:val="en-US"/>
        </w:rPr>
      </w:pPr>
      <w:r w:rsidRPr="00BE78B5">
        <w:rPr>
          <w:rStyle w:val="normaltextrun"/>
          <w:rFonts w:ascii="Segoe UI" w:eastAsiaTheme="majorEastAsia" w:hAnsi="Segoe UI" w:cs="Segoe UI"/>
          <w:b/>
          <w:bCs/>
          <w:sz w:val="22"/>
          <w:szCs w:val="22"/>
        </w:rPr>
        <w:t xml:space="preserve">The Ambulance Victoria </w:t>
      </w:r>
      <w:r>
        <w:rPr>
          <w:rStyle w:val="normaltextrun"/>
          <w:rFonts w:ascii="Segoe UI" w:eastAsiaTheme="majorEastAsia" w:hAnsi="Segoe UI" w:cs="Segoe UI"/>
          <w:b/>
          <w:bCs/>
          <w:sz w:val="22"/>
          <w:szCs w:val="22"/>
        </w:rPr>
        <w:t xml:space="preserve">Board </w:t>
      </w:r>
      <w:r w:rsidRPr="00BE78B5">
        <w:rPr>
          <w:rFonts w:ascii="Segoe UI" w:eastAsiaTheme="majorEastAsia" w:hAnsi="Segoe UI" w:cs="Segoe UI"/>
          <w:b/>
          <w:bCs/>
          <w:sz w:val="22"/>
          <w:szCs w:val="22"/>
          <w:lang w:val="en-US"/>
        </w:rPr>
        <w:t>engaged in</w:t>
      </w:r>
      <w:r w:rsidRPr="00A45A2D">
        <w:rPr>
          <w:rFonts w:ascii="Segoe UI" w:eastAsiaTheme="majorEastAsia" w:hAnsi="Segoe UI" w:cs="Segoe UI"/>
          <w:b/>
          <w:bCs/>
          <w:sz w:val="22"/>
          <w:szCs w:val="22"/>
          <w:lang w:val="en-US"/>
        </w:rPr>
        <w:t xml:space="preserve"> reflective facilitated workshop</w:t>
      </w:r>
      <w:r>
        <w:rPr>
          <w:rFonts w:ascii="Segoe UI" w:eastAsiaTheme="majorEastAsia" w:hAnsi="Segoe UI" w:cs="Segoe UI"/>
          <w:b/>
          <w:bCs/>
          <w:sz w:val="22"/>
          <w:szCs w:val="22"/>
          <w:lang w:val="en-US"/>
        </w:rPr>
        <w:t>s</w:t>
      </w:r>
      <w:r w:rsidRPr="00A45A2D">
        <w:rPr>
          <w:rFonts w:ascii="Segoe UI" w:eastAsiaTheme="majorEastAsia" w:hAnsi="Segoe UI" w:cs="Segoe UI"/>
          <w:b/>
          <w:bCs/>
          <w:sz w:val="22"/>
          <w:szCs w:val="22"/>
          <w:lang w:val="en-US"/>
        </w:rPr>
        <w:t xml:space="preserve"> to review and discuss drivers of discrimination, sexual harassment, bullying and victimisation</w:t>
      </w:r>
    </w:p>
    <w:p w14:paraId="23E3F727" w14:textId="77777777" w:rsidR="005B0663" w:rsidRDefault="005B0663" w:rsidP="005B0663">
      <w:pPr>
        <w:pStyle w:val="paragraph"/>
        <w:spacing w:before="0" w:beforeAutospacing="0" w:line="276" w:lineRule="auto"/>
        <w:rPr>
          <w:rFonts w:ascii="Segoe UI" w:eastAsiaTheme="majorEastAsia" w:hAnsi="Segoe UI" w:cs="Segoe UI"/>
          <w:sz w:val="22"/>
          <w:szCs w:val="22"/>
        </w:rPr>
      </w:pPr>
      <w:r>
        <w:rPr>
          <w:rFonts w:ascii="Segoe UI" w:eastAsiaTheme="majorEastAsia" w:hAnsi="Segoe UI" w:cs="Segoe UI"/>
          <w:sz w:val="22"/>
          <w:szCs w:val="22"/>
        </w:rPr>
        <w:t>The Commission found that 4</w:t>
      </w:r>
      <w:r w:rsidRPr="001911D6">
        <w:rPr>
          <w:rFonts w:ascii="Segoe UI" w:eastAsiaTheme="majorEastAsia" w:hAnsi="Segoe UI" w:cs="Segoe UI"/>
          <w:sz w:val="22"/>
          <w:szCs w:val="22"/>
        </w:rPr>
        <w:t xml:space="preserve"> reflective practice sessions were conducted with the Board during 2023, run by Andrew Hollo from </w:t>
      </w:r>
      <w:proofErr w:type="spellStart"/>
      <w:r w:rsidRPr="001911D6">
        <w:rPr>
          <w:rFonts w:ascii="Segoe UI" w:eastAsiaTheme="majorEastAsia" w:hAnsi="Segoe UI" w:cs="Segoe UI"/>
          <w:sz w:val="22"/>
          <w:szCs w:val="22"/>
        </w:rPr>
        <w:t>Workwell</w:t>
      </w:r>
      <w:proofErr w:type="spellEnd"/>
      <w:r w:rsidRPr="001911D6">
        <w:rPr>
          <w:rFonts w:ascii="Segoe UI" w:eastAsiaTheme="majorEastAsia" w:hAnsi="Segoe UI" w:cs="Segoe UI"/>
          <w:sz w:val="22"/>
          <w:szCs w:val="22"/>
        </w:rPr>
        <w:t xml:space="preserve"> </w:t>
      </w:r>
      <w:r>
        <w:rPr>
          <w:rFonts w:ascii="Segoe UI" w:eastAsiaTheme="majorEastAsia" w:hAnsi="Segoe UI" w:cs="Segoe UI"/>
          <w:sz w:val="22"/>
          <w:szCs w:val="22"/>
        </w:rPr>
        <w:t>C</w:t>
      </w:r>
      <w:r w:rsidRPr="001911D6">
        <w:rPr>
          <w:rFonts w:ascii="Segoe UI" w:eastAsiaTheme="majorEastAsia" w:hAnsi="Segoe UI" w:cs="Segoe UI"/>
          <w:sz w:val="22"/>
          <w:szCs w:val="22"/>
        </w:rPr>
        <w:t xml:space="preserve">onsulting. </w:t>
      </w:r>
      <w:r>
        <w:rPr>
          <w:rFonts w:ascii="Segoe UI" w:eastAsiaTheme="majorEastAsia" w:hAnsi="Segoe UI" w:cs="Segoe UI"/>
          <w:sz w:val="22"/>
          <w:szCs w:val="22"/>
        </w:rPr>
        <w:t>Workshop documentation indicates</w:t>
      </w:r>
      <w:r w:rsidRPr="00C059A2">
        <w:rPr>
          <w:rFonts w:ascii="Segoe UI" w:eastAsiaTheme="majorEastAsia" w:hAnsi="Segoe UI" w:cs="Segoe UI"/>
          <w:sz w:val="22"/>
          <w:szCs w:val="22"/>
        </w:rPr>
        <w:t xml:space="preserve"> </w:t>
      </w:r>
      <w:r>
        <w:rPr>
          <w:rFonts w:ascii="Segoe UI" w:eastAsiaTheme="majorEastAsia" w:hAnsi="Segoe UI" w:cs="Segoe UI"/>
          <w:sz w:val="22"/>
          <w:szCs w:val="22"/>
        </w:rPr>
        <w:t>the Board engaged in discussions</w:t>
      </w:r>
      <w:r w:rsidRPr="00C059A2">
        <w:rPr>
          <w:rFonts w:ascii="Segoe UI" w:eastAsiaTheme="majorEastAsia" w:hAnsi="Segoe UI" w:cs="Segoe UI"/>
          <w:sz w:val="22"/>
          <w:szCs w:val="22"/>
        </w:rPr>
        <w:t xml:space="preserve"> about </w:t>
      </w:r>
      <w:r>
        <w:rPr>
          <w:rFonts w:ascii="Segoe UI" w:eastAsiaTheme="majorEastAsia" w:hAnsi="Segoe UI" w:cs="Segoe UI"/>
          <w:sz w:val="22"/>
          <w:szCs w:val="22"/>
        </w:rPr>
        <w:t xml:space="preserve">the </w:t>
      </w:r>
      <w:r w:rsidRPr="00C059A2">
        <w:rPr>
          <w:rFonts w:ascii="Segoe UI" w:eastAsiaTheme="majorEastAsia" w:hAnsi="Segoe UI" w:cs="Segoe UI"/>
          <w:sz w:val="22"/>
          <w:szCs w:val="22"/>
          <w:lang w:val="en-US"/>
        </w:rPr>
        <w:t xml:space="preserve">drivers of discrimination, sexual harassment, bullying and victimisation identified in the </w:t>
      </w:r>
      <w:r>
        <w:rPr>
          <w:rFonts w:ascii="Segoe UI" w:eastAsiaTheme="majorEastAsia" w:hAnsi="Segoe UI" w:cs="Segoe UI"/>
          <w:sz w:val="22"/>
          <w:szCs w:val="22"/>
          <w:lang w:val="en-US"/>
        </w:rPr>
        <w:t>Commission’s Phase 1 Report, including how the drivers</w:t>
      </w:r>
      <w:r w:rsidRPr="00C059A2">
        <w:rPr>
          <w:rFonts w:ascii="Segoe UI" w:eastAsiaTheme="majorEastAsia" w:hAnsi="Segoe UI" w:cs="Segoe UI"/>
          <w:sz w:val="22"/>
          <w:szCs w:val="22"/>
        </w:rPr>
        <w:t xml:space="preserve"> have shaped workforce equality experiences at </w:t>
      </w:r>
      <w:r>
        <w:rPr>
          <w:rFonts w:ascii="Segoe UI" w:eastAsiaTheme="majorEastAsia" w:hAnsi="Segoe UI" w:cs="Segoe UI"/>
          <w:sz w:val="22"/>
          <w:szCs w:val="22"/>
        </w:rPr>
        <w:t>Ambulance Victoria</w:t>
      </w:r>
      <w:r w:rsidRPr="00C059A2">
        <w:rPr>
          <w:rFonts w:ascii="Segoe UI" w:eastAsiaTheme="majorEastAsia" w:hAnsi="Segoe UI" w:cs="Segoe UI"/>
          <w:sz w:val="22"/>
          <w:szCs w:val="22"/>
        </w:rPr>
        <w:t>.</w:t>
      </w:r>
    </w:p>
    <w:p w14:paraId="7B8D48F7" w14:textId="77777777" w:rsidR="005B0663" w:rsidRDefault="005B0663" w:rsidP="005B0663">
      <w:pPr>
        <w:pStyle w:val="paragraph"/>
        <w:spacing w:before="0" w:beforeAutospacing="0" w:line="276" w:lineRule="auto"/>
        <w:rPr>
          <w:rFonts w:ascii="Segoe UI" w:eastAsiaTheme="majorEastAsia" w:hAnsi="Segoe UI" w:cs="Segoe UI"/>
          <w:sz w:val="22"/>
          <w:szCs w:val="22"/>
        </w:rPr>
      </w:pPr>
      <w:r>
        <w:rPr>
          <w:rFonts w:ascii="Segoe UI" w:eastAsiaTheme="majorEastAsia" w:hAnsi="Segoe UI" w:cs="Segoe UI"/>
          <w:sz w:val="22"/>
          <w:szCs w:val="22"/>
        </w:rPr>
        <w:t xml:space="preserve">Ambulance Victoria’s Board told the Commission it had participated </w:t>
      </w:r>
      <w:r w:rsidRPr="00F579AF">
        <w:rPr>
          <w:rFonts w:ascii="Segoe UI" w:eastAsiaTheme="majorEastAsia" w:hAnsi="Segoe UI" w:cs="Segoe UI"/>
          <w:sz w:val="22"/>
          <w:szCs w:val="22"/>
        </w:rPr>
        <w:t xml:space="preserve">in reflective practice workshops and </w:t>
      </w:r>
      <w:r>
        <w:rPr>
          <w:rFonts w:ascii="Segoe UI" w:eastAsiaTheme="majorEastAsia" w:hAnsi="Segoe UI" w:cs="Segoe UI"/>
          <w:sz w:val="22"/>
          <w:szCs w:val="22"/>
        </w:rPr>
        <w:t xml:space="preserve">in </w:t>
      </w:r>
      <w:r w:rsidRPr="00F579AF">
        <w:rPr>
          <w:rFonts w:ascii="Segoe UI" w:eastAsiaTheme="majorEastAsia" w:hAnsi="Segoe UI" w:cs="Segoe UI"/>
          <w:sz w:val="22"/>
          <w:szCs w:val="22"/>
        </w:rPr>
        <w:t>the development of the reflective practice framework</w:t>
      </w:r>
      <w:r>
        <w:rPr>
          <w:rFonts w:ascii="Segoe UI" w:eastAsiaTheme="majorEastAsia" w:hAnsi="Segoe UI" w:cs="Segoe UI"/>
          <w:sz w:val="22"/>
          <w:szCs w:val="22"/>
        </w:rPr>
        <w:t>. This framework</w:t>
      </w:r>
      <w:r w:rsidRPr="00F579AF">
        <w:rPr>
          <w:rFonts w:ascii="Segoe UI" w:eastAsiaTheme="majorEastAsia" w:hAnsi="Segoe UI" w:cs="Segoe UI"/>
          <w:sz w:val="22"/>
          <w:szCs w:val="22"/>
        </w:rPr>
        <w:t xml:space="preserve"> has been shared with </w:t>
      </w:r>
      <w:r>
        <w:rPr>
          <w:rFonts w:ascii="Segoe UI" w:eastAsiaTheme="majorEastAsia" w:hAnsi="Segoe UI" w:cs="Segoe UI"/>
          <w:sz w:val="22"/>
          <w:szCs w:val="22"/>
        </w:rPr>
        <w:t>the Executive</w:t>
      </w:r>
      <w:r w:rsidRPr="00F579AF">
        <w:rPr>
          <w:rFonts w:ascii="Segoe UI" w:eastAsiaTheme="majorEastAsia" w:hAnsi="Segoe UI" w:cs="Segoe UI"/>
          <w:sz w:val="22"/>
          <w:szCs w:val="22"/>
        </w:rPr>
        <w:t xml:space="preserve"> and will be shared with managers.</w:t>
      </w:r>
      <w:r>
        <w:rPr>
          <w:rFonts w:ascii="Segoe UI" w:eastAsiaTheme="majorEastAsia" w:hAnsi="Segoe UI" w:cs="Segoe UI"/>
          <w:sz w:val="22"/>
          <w:szCs w:val="22"/>
        </w:rPr>
        <w:t xml:space="preserve"> Outcomes from this workshop influenced the development of the values and </w:t>
      </w:r>
      <w:r w:rsidRPr="00386F31">
        <w:rPr>
          <w:rFonts w:ascii="Segoe UI" w:eastAsiaTheme="majorEastAsia" w:hAnsi="Segoe UI" w:cs="Segoe UI"/>
          <w:sz w:val="22"/>
          <w:szCs w:val="22"/>
        </w:rPr>
        <w:t>Safe Fair Inclusive Your AV Roadmap 2022</w:t>
      </w:r>
      <w:r>
        <w:rPr>
          <w:rFonts w:ascii="Segoe UI" w:eastAsiaTheme="majorEastAsia" w:hAnsi="Segoe UI" w:cs="Segoe UI"/>
          <w:sz w:val="22"/>
          <w:szCs w:val="22"/>
        </w:rPr>
        <w:t>–</w:t>
      </w:r>
      <w:r w:rsidRPr="00386F31">
        <w:rPr>
          <w:rFonts w:ascii="Segoe UI" w:eastAsiaTheme="majorEastAsia" w:hAnsi="Segoe UI" w:cs="Segoe UI"/>
          <w:sz w:val="22"/>
          <w:szCs w:val="22"/>
        </w:rPr>
        <w:t>2027</w:t>
      </w:r>
      <w:r>
        <w:rPr>
          <w:rFonts w:ascii="Segoe UI" w:eastAsiaTheme="majorEastAsia" w:hAnsi="Segoe UI" w:cs="Segoe UI"/>
          <w:sz w:val="22"/>
          <w:szCs w:val="22"/>
        </w:rPr>
        <w:t>.</w:t>
      </w:r>
    </w:p>
    <w:p w14:paraId="7635159A" w14:textId="77777777" w:rsidR="005B0663" w:rsidRDefault="005B0663" w:rsidP="005B0663">
      <w:pPr>
        <w:pStyle w:val="paragraph"/>
        <w:rPr>
          <w:rFonts w:ascii="Segoe UI" w:eastAsiaTheme="majorEastAsia" w:hAnsi="Segoe UI" w:cs="Segoe UI"/>
          <w:b/>
          <w:bCs/>
          <w:sz w:val="22"/>
          <w:szCs w:val="22"/>
        </w:rPr>
      </w:pPr>
      <w:r>
        <w:rPr>
          <w:rFonts w:ascii="Segoe UI" w:eastAsiaTheme="majorEastAsia" w:hAnsi="Segoe UI" w:cs="Segoe UI"/>
          <w:b/>
          <w:bCs/>
          <w:sz w:val="22"/>
          <w:szCs w:val="22"/>
        </w:rPr>
        <w:t>Ambulance Victoria’s</w:t>
      </w:r>
      <w:r w:rsidRPr="00E272D3">
        <w:rPr>
          <w:rFonts w:ascii="Segoe UI" w:eastAsiaTheme="majorEastAsia" w:hAnsi="Segoe UI" w:cs="Segoe UI"/>
          <w:b/>
          <w:bCs/>
          <w:sz w:val="22"/>
          <w:szCs w:val="22"/>
        </w:rPr>
        <w:t xml:space="preserve"> </w:t>
      </w:r>
      <w:r>
        <w:rPr>
          <w:rFonts w:ascii="Segoe UI" w:eastAsiaTheme="majorEastAsia" w:hAnsi="Segoe UI" w:cs="Segoe UI"/>
          <w:b/>
          <w:bCs/>
          <w:sz w:val="22"/>
          <w:szCs w:val="22"/>
        </w:rPr>
        <w:t>workforce lacks confidence in senior leadership to make changes to improve workplace safety and equality</w:t>
      </w:r>
    </w:p>
    <w:p w14:paraId="6D8AA81C" w14:textId="77777777" w:rsidR="005B0663" w:rsidRPr="00FC7BC6" w:rsidRDefault="005B0663" w:rsidP="005B0663">
      <w:pPr>
        <w:pStyle w:val="paragraph"/>
        <w:spacing w:before="0" w:beforeAutospacing="0" w:line="276" w:lineRule="auto"/>
        <w:rPr>
          <w:rFonts w:ascii="Segoe UI" w:eastAsiaTheme="majorEastAsia" w:hAnsi="Segoe UI" w:cs="Segoe UI"/>
        </w:rPr>
      </w:pPr>
      <w:r>
        <w:rPr>
          <w:rFonts w:ascii="Segoe UI" w:eastAsiaTheme="majorEastAsia" w:hAnsi="Segoe UI" w:cs="Segoe UI"/>
          <w:sz w:val="22"/>
          <w:szCs w:val="22"/>
        </w:rPr>
        <w:t>Throughout the Progress Evaluation Audit, the Commission heard from many parts of Ambulance Victoria’s leadership that the organisation has been establishing the foundation for change and therefore most of the work done so far to improve workplace safety and equality may not be visible to the workforce. This approach has resulted in a lack of workforce trust that the reforms will be implemented.</w:t>
      </w:r>
    </w:p>
    <w:p w14:paraId="7B601B0D" w14:textId="77777777" w:rsidR="005B0663" w:rsidRPr="00945CB5" w:rsidRDefault="005B0663" w:rsidP="005B0663">
      <w:pPr>
        <w:pStyle w:val="paragraph"/>
        <w:spacing w:before="0" w:beforeAutospacing="0" w:line="276" w:lineRule="auto"/>
        <w:rPr>
          <w:rFonts w:ascii="Segoe UI" w:hAnsi="Segoe UI" w:cs="Segoe UI"/>
          <w:sz w:val="22"/>
          <w:szCs w:val="22"/>
        </w:rPr>
      </w:pPr>
      <w:r>
        <w:rPr>
          <w:rFonts w:ascii="Segoe UI" w:eastAsiaTheme="majorEastAsia" w:hAnsi="Segoe UI" w:cs="Segoe UI"/>
          <w:sz w:val="22"/>
          <w:szCs w:val="22"/>
        </w:rPr>
        <w:t>Workforce survey results show:</w:t>
      </w:r>
    </w:p>
    <w:p w14:paraId="30FABCAE" w14:textId="77777777" w:rsidR="005B0663" w:rsidRDefault="005B0663" w:rsidP="005B0663">
      <w:pPr>
        <w:pStyle w:val="ListParagraph"/>
        <w:numPr>
          <w:ilvl w:val="0"/>
          <w:numId w:val="1"/>
        </w:numPr>
        <w:spacing w:line="276" w:lineRule="auto"/>
        <w:rPr>
          <w:rFonts w:ascii="Segoe UI" w:hAnsi="Segoe UI" w:cs="Segoe UI"/>
        </w:rPr>
      </w:pPr>
      <w:r w:rsidRPr="00C80259">
        <w:rPr>
          <w:rFonts w:ascii="Segoe UI" w:hAnsi="Segoe UI" w:cs="Segoe UI"/>
        </w:rPr>
        <w:lastRenderedPageBreak/>
        <w:t>11% of respondents agree</w:t>
      </w:r>
      <w:r>
        <w:rPr>
          <w:rFonts w:ascii="Segoe UI" w:hAnsi="Segoe UI" w:cs="Segoe UI"/>
        </w:rPr>
        <w:t>d</w:t>
      </w:r>
      <w:r w:rsidRPr="00C80259">
        <w:rPr>
          <w:rFonts w:ascii="Segoe UI" w:hAnsi="Segoe UI" w:cs="Segoe UI"/>
        </w:rPr>
        <w:t xml:space="preserve"> that senior leaders are taking action to reduce unlawful/harmful conduct.</w:t>
      </w:r>
    </w:p>
    <w:p w14:paraId="1E253BE6" w14:textId="77777777" w:rsidR="005B0663" w:rsidRDefault="005B0663" w:rsidP="005B0663">
      <w:pPr>
        <w:pStyle w:val="ListParagraph"/>
        <w:numPr>
          <w:ilvl w:val="0"/>
          <w:numId w:val="1"/>
        </w:numPr>
        <w:spacing w:line="276" w:lineRule="auto"/>
        <w:rPr>
          <w:rFonts w:ascii="Segoe UI" w:hAnsi="Segoe UI" w:cs="Segoe UI"/>
        </w:rPr>
      </w:pPr>
      <w:r w:rsidRPr="00C80259">
        <w:rPr>
          <w:rFonts w:ascii="Segoe UI" w:hAnsi="Segoe UI" w:cs="Segoe UI"/>
        </w:rPr>
        <w:t>11% of respondents trust</w:t>
      </w:r>
      <w:r>
        <w:rPr>
          <w:rFonts w:ascii="Segoe UI" w:hAnsi="Segoe UI" w:cs="Segoe UI"/>
        </w:rPr>
        <w:t>ed</w:t>
      </w:r>
      <w:r w:rsidRPr="00C80259">
        <w:rPr>
          <w:rFonts w:ascii="Segoe UI" w:hAnsi="Segoe UI" w:cs="Segoe UI"/>
        </w:rPr>
        <w:t xml:space="preserve"> that Ambulance Victoria will implement all recommendations</w:t>
      </w:r>
      <w:r>
        <w:rPr>
          <w:rFonts w:ascii="Segoe UI" w:hAnsi="Segoe UI" w:cs="Segoe UI"/>
        </w:rPr>
        <w:t>.</w:t>
      </w:r>
    </w:p>
    <w:p w14:paraId="1577B47C" w14:textId="77777777" w:rsidR="005B0663" w:rsidRPr="00C80259" w:rsidRDefault="005B0663" w:rsidP="005B0663">
      <w:pPr>
        <w:pStyle w:val="ListParagraph"/>
        <w:numPr>
          <w:ilvl w:val="0"/>
          <w:numId w:val="1"/>
        </w:numPr>
        <w:spacing w:line="276" w:lineRule="auto"/>
        <w:rPr>
          <w:rFonts w:ascii="Segoe UI" w:hAnsi="Segoe UI" w:cs="Segoe UI"/>
        </w:rPr>
      </w:pPr>
      <w:r w:rsidRPr="00C80259">
        <w:rPr>
          <w:rFonts w:ascii="Segoe UI" w:hAnsi="Segoe UI" w:cs="Segoe UI"/>
        </w:rPr>
        <w:t>59% of respondents sa</w:t>
      </w:r>
      <w:r>
        <w:rPr>
          <w:rFonts w:ascii="Segoe UI" w:hAnsi="Segoe UI" w:cs="Segoe UI"/>
        </w:rPr>
        <w:t>id</w:t>
      </w:r>
      <w:r w:rsidRPr="00C80259">
        <w:rPr>
          <w:rFonts w:ascii="Segoe UI" w:hAnsi="Segoe UI" w:cs="Segoe UI"/>
        </w:rPr>
        <w:t xml:space="preserve"> that they have seen either no change or negative change since July 2022.</w:t>
      </w:r>
    </w:p>
    <w:p w14:paraId="2C53A8ED" w14:textId="77777777" w:rsidR="005B0663" w:rsidRPr="00F670BF" w:rsidRDefault="005B0663" w:rsidP="005B0663">
      <w:pPr>
        <w:pStyle w:val="paragraph"/>
        <w:spacing w:before="0" w:beforeAutospacing="0" w:line="276" w:lineRule="auto"/>
        <w:rPr>
          <w:rFonts w:ascii="Segoe UI" w:eastAsiaTheme="majorEastAsia" w:hAnsi="Segoe UI" w:cs="Segoe UI"/>
          <w:sz w:val="22"/>
          <w:szCs w:val="22"/>
        </w:rPr>
      </w:pPr>
      <w:r w:rsidRPr="00F670BF">
        <w:rPr>
          <w:rFonts w:ascii="Segoe UI" w:eastAsiaTheme="majorEastAsia" w:hAnsi="Segoe UI" w:cs="Segoe UI"/>
          <w:sz w:val="22"/>
          <w:szCs w:val="22"/>
        </w:rPr>
        <w:t xml:space="preserve">This is an indication that either outcomes from the Board’s reflective practice are not being communicated to the workforce or the Board’s reflective practice is failing to identify the drivers of </w:t>
      </w:r>
      <w:r w:rsidRPr="00F670BF">
        <w:rPr>
          <w:rFonts w:ascii="Segoe UI" w:hAnsi="Segoe UI" w:cs="Segoe UI"/>
          <w:sz w:val="22"/>
          <w:szCs w:val="22"/>
          <w:lang w:val="en-US"/>
        </w:rPr>
        <w:t>discrimination, sexual harassment, bullying and victimisation.</w:t>
      </w:r>
    </w:p>
    <w:p w14:paraId="20846890" w14:textId="77777777" w:rsidR="005B0663" w:rsidRPr="00EF0705" w:rsidRDefault="005B0663" w:rsidP="005B0663">
      <w:pPr>
        <w:pStyle w:val="Heading3"/>
      </w:pPr>
      <w:bookmarkStart w:id="8" w:name="_Toc184117779"/>
      <w:bookmarkStart w:id="9" w:name="_Toc184136214"/>
      <w:r w:rsidRPr="1E969ACE">
        <w:t>Progress in achieving change</w:t>
      </w:r>
      <w:bookmarkEnd w:id="8"/>
      <w:bookmarkEnd w:id="9"/>
    </w:p>
    <w:p w14:paraId="12AC1556" w14:textId="77777777" w:rsidR="005B0663" w:rsidRDefault="005B0663" w:rsidP="005B0663">
      <w:pPr>
        <w:pStyle w:val="NoSpacing"/>
        <w:jc w:val="center"/>
      </w:pPr>
      <w:r>
        <w:rPr>
          <w:noProof/>
        </w:rPr>
        <w:drawing>
          <wp:inline distT="0" distB="0" distL="0" distR="0" wp14:anchorId="200DD269" wp14:editId="4D4DD5CB">
            <wp:extent cx="1836000" cy="1980000"/>
            <wp:effectExtent l="0" t="0" r="0" b="1270"/>
            <wp:docPr id="565722120" name="Picture 565722120" descr="A circular graphic depicting the Commission's assessment that this recommendation is implemented and embedd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722120" name="Picture 565722120" descr="A circular graphic depicting the Commission's assessment that this recommendation is implemented and embedding. "/>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36000" cy="1980000"/>
                    </a:xfrm>
                    <a:prstGeom prst="rect">
                      <a:avLst/>
                    </a:prstGeom>
                  </pic:spPr>
                </pic:pic>
              </a:graphicData>
            </a:graphic>
          </wp:inline>
        </w:drawing>
      </w:r>
    </w:p>
    <w:p w14:paraId="6EBB407B" w14:textId="77777777" w:rsidR="005B0663" w:rsidRPr="00257DE3" w:rsidRDefault="005B0663" w:rsidP="005B0663">
      <w:pPr>
        <w:pStyle w:val="paragraph"/>
        <w:spacing w:before="0" w:beforeAutospacing="0" w:line="276" w:lineRule="auto"/>
        <w:rPr>
          <w:rFonts w:ascii="Segoe UI" w:hAnsi="Segoe UI" w:cs="Segoe UI"/>
          <w:sz w:val="22"/>
          <w:szCs w:val="22"/>
        </w:rPr>
      </w:pPr>
      <w:r w:rsidRPr="00257DE3">
        <w:rPr>
          <w:rFonts w:ascii="Segoe UI" w:hAnsi="Segoe UI" w:cs="Segoe UI"/>
          <w:sz w:val="22"/>
          <w:szCs w:val="22"/>
        </w:rPr>
        <w:t xml:space="preserve">The Commission </w:t>
      </w:r>
      <w:r w:rsidRPr="00257DE3">
        <w:rPr>
          <w:rFonts w:ascii="Segoe UI" w:eastAsiaTheme="majorEastAsia" w:hAnsi="Segoe UI" w:cs="Segoe UI"/>
          <w:sz w:val="22"/>
          <w:szCs w:val="22"/>
        </w:rPr>
        <w:t>found</w:t>
      </w:r>
      <w:r w:rsidRPr="00257DE3">
        <w:rPr>
          <w:rFonts w:ascii="Segoe UI" w:hAnsi="Segoe UI" w:cs="Segoe UI"/>
          <w:sz w:val="22"/>
          <w:szCs w:val="22"/>
        </w:rPr>
        <w:t xml:space="preserve"> this recommendation to be implemented as the activities required by the recommendation have been delivered.</w:t>
      </w:r>
    </w:p>
    <w:p w14:paraId="20A5B063" w14:textId="77777777" w:rsidR="005B0663" w:rsidRPr="00EF0705" w:rsidRDefault="005B0663" w:rsidP="005B0663">
      <w:pPr>
        <w:pStyle w:val="Heading2"/>
      </w:pPr>
      <w:bookmarkStart w:id="10" w:name="_Toc184117780"/>
      <w:bookmarkStart w:id="11" w:name="_Toc184136215"/>
      <w:r w:rsidRPr="3DFECC7F">
        <w:t>What measures are still needed?</w:t>
      </w:r>
      <w:bookmarkEnd w:id="10"/>
      <w:bookmarkEnd w:id="11"/>
    </w:p>
    <w:p w14:paraId="0F6C89A1" w14:textId="77777777" w:rsidR="005B0663" w:rsidRPr="00201A9D" w:rsidRDefault="005B0663" w:rsidP="005B0663">
      <w:pPr>
        <w:pStyle w:val="paragraph"/>
        <w:spacing w:before="0" w:beforeAutospacing="0" w:line="276" w:lineRule="auto"/>
        <w:rPr>
          <w:rFonts w:ascii="Segoe UI" w:hAnsi="Segoe UI" w:cs="Segoe UI"/>
          <w:sz w:val="22"/>
          <w:szCs w:val="22"/>
        </w:rPr>
      </w:pPr>
      <w:r w:rsidRPr="00260132">
        <w:rPr>
          <w:rFonts w:ascii="Segoe UI" w:hAnsi="Segoe UI" w:cs="Segoe UI"/>
          <w:sz w:val="22"/>
          <w:szCs w:val="22"/>
        </w:rPr>
        <w:t xml:space="preserve">The Board’s ongoing reflective practice, which thoroughly examines the </w:t>
      </w:r>
      <w:r>
        <w:rPr>
          <w:rFonts w:ascii="Segoe UI" w:hAnsi="Segoe UI" w:cs="Segoe UI"/>
          <w:sz w:val="22"/>
          <w:szCs w:val="22"/>
        </w:rPr>
        <w:t>drivers</w:t>
      </w:r>
      <w:r w:rsidRPr="00260132">
        <w:rPr>
          <w:rFonts w:ascii="Segoe UI" w:hAnsi="Segoe UI" w:cs="Segoe UI"/>
          <w:sz w:val="22"/>
          <w:szCs w:val="22"/>
        </w:rPr>
        <w:t xml:space="preserve"> of discrimination, </w:t>
      </w:r>
      <w:r w:rsidRPr="00201A9D">
        <w:rPr>
          <w:rFonts w:ascii="Segoe UI" w:hAnsi="Segoe UI" w:cs="Segoe UI"/>
          <w:sz w:val="22"/>
          <w:szCs w:val="22"/>
        </w:rPr>
        <w:t>sexual harassment, bullying and victimisation at Ambulance Victoria, is instrumental in Enhancing Workforce Commitment. By fostering accountability and a commitment to a safe and inclusive workplace, these efforts help to ensure that all employees feel valued and empowered to contribute fully to the reforms.</w:t>
      </w:r>
    </w:p>
    <w:p w14:paraId="51E899CA" w14:textId="77777777" w:rsidR="005B0663" w:rsidRPr="00201A9D" w:rsidRDefault="005B0663" w:rsidP="005B0663">
      <w:pPr>
        <w:pStyle w:val="paragraph"/>
        <w:spacing w:before="0" w:beforeAutospacing="0" w:line="276" w:lineRule="auto"/>
        <w:rPr>
          <w:rFonts w:ascii="Segoe UI" w:hAnsi="Segoe UI" w:cs="Segoe UI"/>
          <w:sz w:val="22"/>
          <w:szCs w:val="22"/>
          <w:lang w:val="en-US"/>
        </w:rPr>
      </w:pPr>
      <w:r w:rsidRPr="00201A9D">
        <w:rPr>
          <w:rFonts w:ascii="Segoe UI" w:eastAsiaTheme="majorEastAsia" w:hAnsi="Segoe UI" w:cs="Segoe UI"/>
          <w:sz w:val="22"/>
          <w:szCs w:val="22"/>
        </w:rPr>
        <w:t xml:space="preserve">This </w:t>
      </w:r>
      <w:r w:rsidRPr="00201A9D">
        <w:rPr>
          <w:rFonts w:ascii="Segoe UI" w:hAnsi="Segoe UI" w:cs="Segoe UI"/>
          <w:sz w:val="22"/>
          <w:szCs w:val="22"/>
        </w:rPr>
        <w:t>recommendation</w:t>
      </w:r>
      <w:r w:rsidRPr="00201A9D">
        <w:rPr>
          <w:rFonts w:ascii="Segoe UI" w:eastAsiaTheme="majorEastAsia" w:hAnsi="Segoe UI" w:cs="Segoe UI"/>
          <w:sz w:val="22"/>
          <w:szCs w:val="22"/>
        </w:rPr>
        <w:t xml:space="preserve"> </w:t>
      </w:r>
      <w:r w:rsidRPr="00201A9D">
        <w:rPr>
          <w:rFonts w:ascii="Segoe UI" w:hAnsi="Segoe UI" w:cs="Segoe UI"/>
          <w:sz w:val="22"/>
          <w:szCs w:val="22"/>
        </w:rPr>
        <w:t xml:space="preserve">should be embedded by ensuring the Board’s reflective practice continues to consider the drivers of </w:t>
      </w:r>
      <w:r w:rsidRPr="00201A9D">
        <w:rPr>
          <w:rFonts w:ascii="Segoe UI" w:eastAsiaTheme="majorEastAsia" w:hAnsi="Segoe UI" w:cs="Segoe UI"/>
          <w:sz w:val="22"/>
          <w:szCs w:val="22"/>
          <w:lang w:val="en-US"/>
        </w:rPr>
        <w:t>discrimination, sexual harassment, bullying and victimisation</w:t>
      </w:r>
      <w:r w:rsidRPr="00201A9D">
        <w:rPr>
          <w:rFonts w:ascii="Segoe UI" w:hAnsi="Segoe UI" w:cs="Segoe UI"/>
          <w:sz w:val="22"/>
          <w:szCs w:val="22"/>
          <w:lang w:val="en-US"/>
        </w:rPr>
        <w:t xml:space="preserve"> at Ambulance Victoria. Experiences of these behaviours are ongoing and should be addressed as a priority as part of the Reform Barrier: Archetypes – Diversity and Inclusion.</w:t>
      </w:r>
    </w:p>
    <w:p w14:paraId="6360ABFA" w14:textId="77777777" w:rsidR="005B0663" w:rsidRPr="00201A9D" w:rsidRDefault="005B0663" w:rsidP="005B0663">
      <w:pPr>
        <w:pStyle w:val="paragraph"/>
        <w:spacing w:before="0" w:beforeAutospacing="0" w:line="276" w:lineRule="auto"/>
        <w:rPr>
          <w:rFonts w:ascii="Segoe UI" w:eastAsiaTheme="majorEastAsia" w:hAnsi="Segoe UI" w:cs="Segoe UI"/>
          <w:sz w:val="22"/>
          <w:szCs w:val="22"/>
        </w:rPr>
      </w:pPr>
      <w:r w:rsidRPr="00201A9D">
        <w:rPr>
          <w:rFonts w:ascii="Segoe UI" w:hAnsi="Segoe UI" w:cs="Segoe UI"/>
          <w:sz w:val="22"/>
          <w:szCs w:val="22"/>
          <w:lang w:val="en-US"/>
        </w:rPr>
        <w:t xml:space="preserve">Board </w:t>
      </w:r>
      <w:r w:rsidRPr="00201A9D">
        <w:rPr>
          <w:rFonts w:ascii="Segoe UI" w:hAnsi="Segoe UI" w:cs="Segoe UI"/>
          <w:sz w:val="22"/>
          <w:szCs w:val="22"/>
        </w:rPr>
        <w:t>reflective</w:t>
      </w:r>
      <w:r w:rsidRPr="00201A9D">
        <w:rPr>
          <w:rFonts w:ascii="Segoe UI" w:hAnsi="Segoe UI" w:cs="Segoe UI"/>
          <w:sz w:val="22"/>
          <w:szCs w:val="22"/>
          <w:lang w:val="en-US"/>
        </w:rPr>
        <w:t xml:space="preserve"> practice should consider how these drivers of unlawful behaviour influence reform implementation, continuous improvement and other interdependent aspects of organisational performance. See Reform Barrier: Change Management.</w:t>
      </w:r>
    </w:p>
    <w:p w14:paraId="31D6E406" w14:textId="05B65916" w:rsidR="006D056D" w:rsidRPr="00201A9D" w:rsidRDefault="005B0663" w:rsidP="005B0663">
      <w:pPr>
        <w:pStyle w:val="paragraph"/>
        <w:spacing w:before="0" w:beforeAutospacing="0" w:line="276" w:lineRule="auto"/>
        <w:rPr>
          <w:sz w:val="22"/>
          <w:szCs w:val="22"/>
        </w:rPr>
      </w:pPr>
      <w:r w:rsidRPr="00201A9D">
        <w:rPr>
          <w:rFonts w:ascii="Segoe UI" w:hAnsi="Segoe UI" w:cs="Segoe UI"/>
          <w:sz w:val="22"/>
          <w:szCs w:val="22"/>
        </w:rPr>
        <w:lastRenderedPageBreak/>
        <w:t>Clearly communicating to the workforce on the outcomes of the Board’s reflective practices will also help to build workforce trust in the Board’s commitment to reforms. See Reform Enabler: Enhancing Communication.</w:t>
      </w:r>
      <w:r w:rsidRPr="00201A9D">
        <w:rPr>
          <w:rFonts w:ascii="Segoe UI" w:eastAsiaTheme="majorEastAsia" w:hAnsi="Segoe UI" w:cs="Segoe UI"/>
          <w:sz w:val="22"/>
          <w:szCs w:val="22"/>
        </w:rPr>
        <w:t xml:space="preserve"> </w:t>
      </w:r>
    </w:p>
    <w:sectPr w:rsidR="006D056D" w:rsidRPr="00201A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DEC088" w14:textId="77777777" w:rsidR="005B0663" w:rsidRDefault="005B0663" w:rsidP="005B0663">
      <w:pPr>
        <w:spacing w:after="0" w:line="240" w:lineRule="auto"/>
      </w:pPr>
      <w:r>
        <w:separator/>
      </w:r>
    </w:p>
  </w:endnote>
  <w:endnote w:type="continuationSeparator" w:id="0">
    <w:p w14:paraId="5550B6EF" w14:textId="77777777" w:rsidR="005B0663" w:rsidRDefault="005B0663" w:rsidP="005B0663">
      <w:pPr>
        <w:spacing w:after="0" w:line="240" w:lineRule="auto"/>
      </w:pPr>
      <w:r>
        <w:continuationSeparator/>
      </w:r>
    </w:p>
  </w:endnote>
  <w:endnote w:type="continuationNotice" w:id="1">
    <w:p w14:paraId="69764D40" w14:textId="77777777" w:rsidR="00B31844" w:rsidRDefault="00B318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A49157" w14:textId="77777777" w:rsidR="005B0663" w:rsidRDefault="005B0663" w:rsidP="005B0663">
      <w:pPr>
        <w:spacing w:after="0" w:line="240" w:lineRule="auto"/>
      </w:pPr>
      <w:r>
        <w:separator/>
      </w:r>
    </w:p>
  </w:footnote>
  <w:footnote w:type="continuationSeparator" w:id="0">
    <w:p w14:paraId="13653E85" w14:textId="77777777" w:rsidR="005B0663" w:rsidRDefault="005B0663" w:rsidP="005B0663">
      <w:pPr>
        <w:spacing w:after="0" w:line="240" w:lineRule="auto"/>
      </w:pPr>
      <w:r>
        <w:continuationSeparator/>
      </w:r>
    </w:p>
  </w:footnote>
  <w:footnote w:type="continuationNotice" w:id="1">
    <w:p w14:paraId="05C409FA" w14:textId="77777777" w:rsidR="00B31844" w:rsidRDefault="00B31844">
      <w:pPr>
        <w:spacing w:after="0" w:line="240" w:lineRule="auto"/>
      </w:pPr>
    </w:p>
  </w:footnote>
  <w:footnote w:id="2">
    <w:p w14:paraId="3E0FA9CF" w14:textId="77777777" w:rsidR="005B0663" w:rsidRPr="002E7607" w:rsidRDefault="005B0663" w:rsidP="005B0663">
      <w:pPr>
        <w:rPr>
          <w:rFonts w:cs="Segoe UI"/>
          <w:sz w:val="20"/>
          <w:szCs w:val="20"/>
        </w:rPr>
      </w:pPr>
      <w:r w:rsidRPr="002E7607">
        <w:rPr>
          <w:rStyle w:val="FootnoteReference"/>
          <w:sz w:val="20"/>
          <w:szCs w:val="20"/>
        </w:rPr>
        <w:footnoteRef/>
      </w:r>
      <w:r w:rsidRPr="002E7607">
        <w:rPr>
          <w:sz w:val="20"/>
          <w:szCs w:val="20"/>
        </w:rPr>
        <w:t xml:space="preserve"> </w:t>
      </w:r>
      <w:r w:rsidRPr="002E7607">
        <w:rPr>
          <w:rFonts w:cs="Segoe UI"/>
          <w:sz w:val="20"/>
          <w:szCs w:val="20"/>
        </w:rPr>
        <w:t xml:space="preserve">Victorian Equal Opportunity and Human Rights Commission, Independent Review into Workplace Equality in Ambulance Victoria: Phase </w:t>
      </w:r>
      <w:r>
        <w:rPr>
          <w:rFonts w:cs="Segoe UI"/>
          <w:sz w:val="20"/>
          <w:szCs w:val="20"/>
        </w:rPr>
        <w:t>1</w:t>
      </w:r>
      <w:r w:rsidRPr="002E7607">
        <w:rPr>
          <w:rFonts w:cs="Segoe UI"/>
          <w:sz w:val="20"/>
          <w:szCs w:val="20"/>
        </w:rPr>
        <w:t xml:space="preserve"> (Volume </w:t>
      </w:r>
      <w:r>
        <w:rPr>
          <w:rFonts w:cs="Segoe UI"/>
          <w:sz w:val="20"/>
          <w:szCs w:val="20"/>
        </w:rPr>
        <w:t>I</w:t>
      </w:r>
      <w:r w:rsidRPr="002E7607">
        <w:rPr>
          <w:rFonts w:cs="Segoe UI"/>
          <w:sz w:val="20"/>
          <w:szCs w:val="20"/>
        </w:rPr>
        <w:t>, 2021) 132.</w:t>
      </w:r>
    </w:p>
  </w:footnote>
  <w:footnote w:id="3">
    <w:p w14:paraId="79F2349A" w14:textId="77777777" w:rsidR="005B0663" w:rsidRPr="004738A2" w:rsidRDefault="005B0663" w:rsidP="005B0663">
      <w:pPr>
        <w:rPr>
          <w:rFonts w:cs="Segoe UI"/>
          <w:sz w:val="20"/>
          <w:szCs w:val="20"/>
        </w:rPr>
      </w:pPr>
      <w:r w:rsidRPr="004738A2">
        <w:rPr>
          <w:rStyle w:val="FootnoteReference"/>
          <w:sz w:val="20"/>
          <w:szCs w:val="20"/>
        </w:rPr>
        <w:footnoteRef/>
      </w:r>
      <w:r w:rsidRPr="004738A2">
        <w:rPr>
          <w:sz w:val="20"/>
          <w:szCs w:val="20"/>
        </w:rPr>
        <w:t xml:space="preserve"> </w:t>
      </w:r>
      <w:r w:rsidRPr="004738A2">
        <w:rPr>
          <w:rFonts w:cs="Segoe UI"/>
          <w:sz w:val="20"/>
          <w:szCs w:val="20"/>
        </w:rPr>
        <w:t>Victorian Equal Opportunity and Human Rights Commission, Independent Review into Workplace Equality in Ambulance Victoria: Phase 1 (Volume II, 2022) 748.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2A4089"/>
    <w:multiLevelType w:val="hybridMultilevel"/>
    <w:tmpl w:val="1B1EB6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54969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663"/>
    <w:rsid w:val="001F5514"/>
    <w:rsid w:val="00201A9D"/>
    <w:rsid w:val="00392ABB"/>
    <w:rsid w:val="005B0663"/>
    <w:rsid w:val="006D056D"/>
    <w:rsid w:val="00B31844"/>
    <w:rsid w:val="00BC7E8E"/>
    <w:rsid w:val="00D26D74"/>
    <w:rsid w:val="00D425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F83BD"/>
  <w15:chartTrackingRefBased/>
  <w15:docId w15:val="{26DA23BB-2C75-461B-BF2E-A0331103B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663"/>
  </w:style>
  <w:style w:type="paragraph" w:styleId="Heading1">
    <w:name w:val="heading 1"/>
    <w:basedOn w:val="Normal"/>
    <w:next w:val="Normal"/>
    <w:link w:val="Heading1Char"/>
    <w:qFormat/>
    <w:rsid w:val="005B06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5B06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5B06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06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06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06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06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06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06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06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5B06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5B06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06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06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06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06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06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0663"/>
    <w:rPr>
      <w:rFonts w:eastAsiaTheme="majorEastAsia" w:cstheme="majorBidi"/>
      <w:color w:val="272727" w:themeColor="text1" w:themeTint="D8"/>
    </w:rPr>
  </w:style>
  <w:style w:type="paragraph" w:styleId="Title">
    <w:name w:val="Title"/>
    <w:basedOn w:val="Normal"/>
    <w:next w:val="Normal"/>
    <w:link w:val="TitleChar"/>
    <w:uiPriority w:val="10"/>
    <w:qFormat/>
    <w:rsid w:val="005B06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6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06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06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0663"/>
    <w:pPr>
      <w:spacing w:before="160"/>
      <w:jc w:val="center"/>
    </w:pPr>
    <w:rPr>
      <w:i/>
      <w:iCs/>
      <w:color w:val="404040" w:themeColor="text1" w:themeTint="BF"/>
    </w:rPr>
  </w:style>
  <w:style w:type="character" w:customStyle="1" w:styleId="QuoteChar">
    <w:name w:val="Quote Char"/>
    <w:basedOn w:val="DefaultParagraphFont"/>
    <w:link w:val="Quote"/>
    <w:uiPriority w:val="29"/>
    <w:rsid w:val="005B0663"/>
    <w:rPr>
      <w:i/>
      <w:iCs/>
      <w:color w:val="404040" w:themeColor="text1" w:themeTint="BF"/>
    </w:rPr>
  </w:style>
  <w:style w:type="paragraph" w:styleId="ListParagraph">
    <w:name w:val="List Paragraph"/>
    <w:aliases w:val="Bullet number"/>
    <w:basedOn w:val="Normal"/>
    <w:uiPriority w:val="99"/>
    <w:qFormat/>
    <w:rsid w:val="005B0663"/>
    <w:pPr>
      <w:ind w:left="720"/>
      <w:contextualSpacing/>
    </w:pPr>
  </w:style>
  <w:style w:type="character" w:styleId="IntenseEmphasis">
    <w:name w:val="Intense Emphasis"/>
    <w:basedOn w:val="DefaultParagraphFont"/>
    <w:uiPriority w:val="21"/>
    <w:qFormat/>
    <w:rsid w:val="005B0663"/>
    <w:rPr>
      <w:i/>
      <w:iCs/>
      <w:color w:val="0F4761" w:themeColor="accent1" w:themeShade="BF"/>
    </w:rPr>
  </w:style>
  <w:style w:type="paragraph" w:styleId="IntenseQuote">
    <w:name w:val="Intense Quote"/>
    <w:basedOn w:val="Normal"/>
    <w:next w:val="Normal"/>
    <w:link w:val="IntenseQuoteChar"/>
    <w:uiPriority w:val="30"/>
    <w:qFormat/>
    <w:rsid w:val="005B06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0663"/>
    <w:rPr>
      <w:i/>
      <w:iCs/>
      <w:color w:val="0F4761" w:themeColor="accent1" w:themeShade="BF"/>
    </w:rPr>
  </w:style>
  <w:style w:type="character" w:styleId="IntenseReference">
    <w:name w:val="Intense Reference"/>
    <w:basedOn w:val="DefaultParagraphFont"/>
    <w:uiPriority w:val="32"/>
    <w:qFormat/>
    <w:rsid w:val="005B0663"/>
    <w:rPr>
      <w:b/>
      <w:bCs/>
      <w:smallCaps/>
      <w:color w:val="0F4761" w:themeColor="accent1" w:themeShade="BF"/>
      <w:spacing w:val="5"/>
    </w:rPr>
  </w:style>
  <w:style w:type="character" w:styleId="FootnoteReference">
    <w:name w:val="footnote reference"/>
    <w:basedOn w:val="DefaultParagraphFont"/>
    <w:uiPriority w:val="99"/>
    <w:semiHidden/>
    <w:unhideWhenUsed/>
    <w:qFormat/>
    <w:rsid w:val="005B0663"/>
    <w:rPr>
      <w:vertAlign w:val="superscript"/>
    </w:rPr>
  </w:style>
  <w:style w:type="paragraph" w:styleId="NoSpacing">
    <w:name w:val="No Spacing"/>
    <w:uiPriority w:val="1"/>
    <w:qFormat/>
    <w:rsid w:val="005B0663"/>
    <w:pPr>
      <w:spacing w:after="0" w:line="240" w:lineRule="auto"/>
      <w:textAlignment w:val="baseline"/>
    </w:pPr>
    <w:rPr>
      <w:rFonts w:ascii="Arial" w:eastAsiaTheme="majorEastAsia" w:hAnsi="Arial" w:cs="Arial"/>
      <w:kern w:val="0"/>
      <w:lang w:eastAsia="en-AU"/>
      <w14:ligatures w14:val="none"/>
    </w:rPr>
  </w:style>
  <w:style w:type="paragraph" w:customStyle="1" w:styleId="paragraph">
    <w:name w:val="paragraph"/>
    <w:basedOn w:val="Normal"/>
    <w:rsid w:val="005B0663"/>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5B0663"/>
  </w:style>
  <w:style w:type="character" w:styleId="Emphasis">
    <w:name w:val="Emphasis"/>
    <w:basedOn w:val="DefaultParagraphFont"/>
    <w:qFormat/>
    <w:rsid w:val="005B0663"/>
    <w:rPr>
      <w:i/>
      <w:iCs/>
    </w:rPr>
  </w:style>
  <w:style w:type="paragraph" w:styleId="Header">
    <w:name w:val="header"/>
    <w:basedOn w:val="Normal"/>
    <w:link w:val="HeaderChar"/>
    <w:uiPriority w:val="99"/>
    <w:semiHidden/>
    <w:unhideWhenUsed/>
    <w:rsid w:val="00B318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31844"/>
  </w:style>
  <w:style w:type="paragraph" w:styleId="Footer">
    <w:name w:val="footer"/>
    <w:basedOn w:val="Normal"/>
    <w:link w:val="FooterChar"/>
    <w:uiPriority w:val="99"/>
    <w:semiHidden/>
    <w:unhideWhenUsed/>
    <w:rsid w:val="00B3184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31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9ed8c2-7c4f-476e-aabf-c40a33b19a18">
      <Terms xmlns="http://schemas.microsoft.com/office/infopath/2007/PartnerControls"/>
    </lcf76f155ced4ddcb4097134ff3c332f>
    <TaxCatchAll xmlns="c797cc59-9b55-482b-909b-1e567b47f3ea"/>
    <Notes xmlns="ce9ed8c2-7c4f-476e-aabf-c40a33b19a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CC7B2E64029442A88CE2E4D58E9F32" ma:contentTypeVersion="19" ma:contentTypeDescription="Create a new document." ma:contentTypeScope="" ma:versionID="f8a8a8e985e0e5281da7929506352c09">
  <xsd:schema xmlns:xsd="http://www.w3.org/2001/XMLSchema" xmlns:xs="http://www.w3.org/2001/XMLSchema" xmlns:p="http://schemas.microsoft.com/office/2006/metadata/properties" xmlns:ns2="ce9ed8c2-7c4f-476e-aabf-c40a33b19a18" xmlns:ns3="c797cc59-9b55-482b-909b-1e567b47f3ea" targetNamespace="http://schemas.microsoft.com/office/2006/metadata/properties" ma:root="true" ma:fieldsID="521188cc2671bcf29c0793c1be8fe36a" ns2:_="" ns3:_="">
    <xsd:import namespace="ce9ed8c2-7c4f-476e-aabf-c40a33b19a18"/>
    <xsd:import namespace="c797cc59-9b55-482b-909b-1e567b47f3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Notes"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ed8c2-7c4f-476e-aabf-c40a33b19a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s" ma:index="18" nillable="true" ma:displayName="Notes" ma:format="Dropdown" ma:internalName="Notes">
      <xsd:simpleType>
        <xsd:restriction base="dms:Text">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97cc59-9b55-482b-909b-1e567b47f3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019214-df6a-4cd5-8123-312450fb8a41}" ma:internalName="TaxCatchAll" ma:showField="CatchAllData" ma:web="c797cc59-9b55-482b-909b-1e567b47f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852009-E87A-4595-9148-95371D55BA0A}">
  <ds:schemaRefs>
    <ds:schemaRef ds:uri="http://purl.org/dc/terms/"/>
    <ds:schemaRef ds:uri="http://schemas.microsoft.com/office/2006/documentManagement/types"/>
    <ds:schemaRef ds:uri="http://purl.org/dc/dcmitype/"/>
    <ds:schemaRef ds:uri="http://purl.org/dc/elements/1.1/"/>
    <ds:schemaRef ds:uri="http://schemas.microsoft.com/office/2006/metadata/properties"/>
    <ds:schemaRef ds:uri="c797cc59-9b55-482b-909b-1e567b47f3ea"/>
    <ds:schemaRef ds:uri="http://schemas.microsoft.com/office/infopath/2007/PartnerControls"/>
    <ds:schemaRef ds:uri="ce9ed8c2-7c4f-476e-aabf-c40a33b19a18"/>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C887517-DED6-4318-9444-FB9C8851277A}">
  <ds:schemaRefs>
    <ds:schemaRef ds:uri="http://schemas.microsoft.com/sharepoint/v3/contenttype/forms"/>
  </ds:schemaRefs>
</ds:datastoreItem>
</file>

<file path=customXml/itemProps3.xml><?xml version="1.0" encoding="utf-8"?>
<ds:datastoreItem xmlns:ds="http://schemas.openxmlformats.org/officeDocument/2006/customXml" ds:itemID="{102DFD47-64BC-4F99-9310-3CA9F91E7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ed8c2-7c4f-476e-aabf-c40a33b19a18"/>
    <ds:schemaRef ds:uri="c797cc59-9b55-482b-909b-1e567b47f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906</Words>
  <Characters>5166</Characters>
  <Application>Microsoft Office Word</Application>
  <DocSecurity>0</DocSecurity>
  <Lines>43</Lines>
  <Paragraphs>12</Paragraphs>
  <ScaleCrop>false</ScaleCrop>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 Manning (DJCS)</dc:creator>
  <cp:keywords/>
  <dc:description/>
  <cp:lastModifiedBy>Julia P Manning (DJCS)</cp:lastModifiedBy>
  <cp:revision>3</cp:revision>
  <dcterms:created xsi:type="dcterms:W3CDTF">2025-01-07T23:53:00Z</dcterms:created>
  <dcterms:modified xsi:type="dcterms:W3CDTF">2025-01-08T01:10:00Z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0x01010008CC7B2E64029442A88CE2E4D58E9F32</vt:lpwstr>
  </property>
  <property fmtid="{D5CDD505-2E9C-101B-9397-08002B2CF9AE}" pid="3" name="MediaServiceImageTags">
    <vt:lpwstr/>
  </property>
</Properties>
</file>