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EBF91" w14:textId="77777777" w:rsidR="00764A33" w:rsidRDefault="00764A33" w:rsidP="00764A33">
      <w:pPr>
        <w:pStyle w:val="Heading1"/>
      </w:pPr>
      <w:r>
        <w:t>B</w:t>
      </w:r>
      <w:r w:rsidRPr="6DA61711">
        <w:t xml:space="preserve">arrier: </w:t>
      </w:r>
      <w:r>
        <w:t>An inconsistent approach to workplace</w:t>
      </w:r>
      <w:r w:rsidRPr="6DA61711">
        <w:t xml:space="preserve"> flexibility</w:t>
      </w:r>
    </w:p>
    <w:p w14:paraId="0DB7EADB" w14:textId="77777777" w:rsidR="00764A33" w:rsidRPr="004C6340" w:rsidRDefault="00764A33" w:rsidP="00764A33">
      <w:pPr>
        <w:pStyle w:val="BodyText"/>
        <w:rPr>
          <w:rFonts w:ascii="Segoe UI" w:hAnsi="Segoe UI" w:cs="Segoe UI"/>
          <w:i/>
          <w:iCs/>
          <w:sz w:val="28"/>
          <w:szCs w:val="28"/>
        </w:rPr>
      </w:pPr>
      <w:r w:rsidRPr="004C6340">
        <w:rPr>
          <w:rFonts w:ascii="Segoe UI" w:hAnsi="Segoe UI" w:cs="Segoe UI"/>
          <w:i/>
          <w:iCs/>
          <w:sz w:val="28"/>
          <w:szCs w:val="28"/>
        </w:rPr>
        <w:t>Ambulance Victoria’s approach to workplace flexibility demonstrates varying understandings of, and attitudes towards, flexible work. This results in inconsistent and inequitable practices that contribute to cultural issues which hamper reform progress.</w:t>
      </w:r>
    </w:p>
    <w:p w14:paraId="63B98A7B" w14:textId="77777777" w:rsidR="00764A33" w:rsidRPr="001853C2" w:rsidRDefault="00764A33" w:rsidP="00764A33">
      <w:pPr>
        <w:pStyle w:val="Heading2"/>
      </w:pPr>
      <w:r w:rsidRPr="001853C2">
        <w:t>Why is this a barrier to reform?</w:t>
      </w:r>
    </w:p>
    <w:p w14:paraId="60026FFE" w14:textId="77777777" w:rsidR="00764A33" w:rsidRPr="00D82239" w:rsidRDefault="00764A33" w:rsidP="00764A33">
      <w:pPr>
        <w:pStyle w:val="paragraph"/>
        <w:spacing w:before="0" w:beforeAutospacing="0" w:line="276" w:lineRule="auto"/>
        <w:rPr>
          <w:rFonts w:ascii="Segoe UI" w:hAnsi="Segoe UI" w:cs="Segoe UI"/>
          <w:sz w:val="22"/>
          <w:szCs w:val="22"/>
        </w:rPr>
      </w:pPr>
      <w:r w:rsidRPr="00D82239">
        <w:rPr>
          <w:rFonts w:ascii="Segoe UI" w:hAnsi="Segoe UI" w:cs="Segoe UI"/>
          <w:sz w:val="22"/>
          <w:szCs w:val="22"/>
        </w:rPr>
        <w:t>During the Progress Evaluation Audit</w:t>
      </w:r>
      <w:r>
        <w:rPr>
          <w:rFonts w:ascii="Segoe UI" w:hAnsi="Segoe UI" w:cs="Segoe UI"/>
          <w:sz w:val="22"/>
          <w:szCs w:val="22"/>
        </w:rPr>
        <w:t>,</w:t>
      </w:r>
      <w:r w:rsidRPr="00D82239">
        <w:rPr>
          <w:rFonts w:ascii="Segoe UI" w:hAnsi="Segoe UI" w:cs="Segoe UI"/>
          <w:sz w:val="22"/>
          <w:szCs w:val="22"/>
        </w:rPr>
        <w:t xml:space="preserve"> the Commission heard from Ambulance Victoria’s operational workforce, managers and leaders that workplace flexibility is often viewed as a privilege for individuals and a problem for management </w:t>
      </w:r>
      <w:r>
        <w:rPr>
          <w:rFonts w:ascii="Segoe UI" w:hAnsi="Segoe UI" w:cs="Segoe UI"/>
          <w:sz w:val="22"/>
          <w:szCs w:val="22"/>
        </w:rPr>
        <w:t>–</w:t>
      </w:r>
      <w:r w:rsidRPr="00D82239">
        <w:rPr>
          <w:rFonts w:ascii="Segoe UI" w:hAnsi="Segoe UI" w:cs="Segoe UI"/>
          <w:sz w:val="22"/>
          <w:szCs w:val="22"/>
        </w:rPr>
        <w:t xml:space="preserve"> rather than </w:t>
      </w:r>
      <w:r>
        <w:rPr>
          <w:rFonts w:ascii="Segoe UI" w:hAnsi="Segoe UI" w:cs="Segoe UI"/>
          <w:sz w:val="22"/>
          <w:szCs w:val="22"/>
        </w:rPr>
        <w:t xml:space="preserve">as </w:t>
      </w:r>
      <w:r w:rsidRPr="00D82239">
        <w:rPr>
          <w:rFonts w:ascii="Segoe UI" w:hAnsi="Segoe UI" w:cs="Segoe UI"/>
          <w:sz w:val="22"/>
          <w:szCs w:val="22"/>
        </w:rPr>
        <w:t>an opportunity for organisational benefit through improved employee work</w:t>
      </w:r>
      <w:r>
        <w:rPr>
          <w:rFonts w:ascii="Segoe UI" w:hAnsi="Segoe UI" w:cs="Segoe UI"/>
          <w:sz w:val="22"/>
          <w:szCs w:val="22"/>
        </w:rPr>
        <w:t>–</w:t>
      </w:r>
      <w:r w:rsidRPr="00D82239">
        <w:rPr>
          <w:rFonts w:ascii="Segoe UI" w:hAnsi="Segoe UI" w:cs="Segoe UI"/>
          <w:sz w:val="22"/>
          <w:szCs w:val="22"/>
        </w:rPr>
        <w:t>life balance, diversity, engagement, satisfaction and retention.</w:t>
      </w:r>
    </w:p>
    <w:p w14:paraId="588F3EE9" w14:textId="77777777" w:rsidR="00764A33" w:rsidRPr="00D82239" w:rsidRDefault="00764A33" w:rsidP="00764A33">
      <w:pPr>
        <w:pStyle w:val="paragraph"/>
        <w:spacing w:before="0" w:beforeAutospacing="0" w:line="276" w:lineRule="auto"/>
        <w:rPr>
          <w:rFonts w:ascii="Segoe UI" w:hAnsi="Segoe UI" w:cs="Segoe UI"/>
          <w:sz w:val="22"/>
          <w:szCs w:val="22"/>
        </w:rPr>
      </w:pPr>
      <w:r w:rsidRPr="00D82239">
        <w:rPr>
          <w:rFonts w:ascii="Segoe UI" w:hAnsi="Segoe UI" w:cs="Segoe UI"/>
          <w:sz w:val="22"/>
          <w:szCs w:val="22"/>
        </w:rPr>
        <w:t xml:space="preserve">The Commission also frequently heard that Ambulance Victoria’s inconsistent approach to flexibility is having a negative ripple effect across other areas of organisational reform. The Commission considers that accommodating the workforce’s flexibility needs will advance reform across many of the pervasive cultural issues that resulted in </w:t>
      </w:r>
      <w:r>
        <w:rPr>
          <w:rFonts w:ascii="Segoe UI" w:hAnsi="Segoe UI" w:cs="Segoe UI"/>
          <w:sz w:val="22"/>
          <w:szCs w:val="22"/>
        </w:rPr>
        <w:t xml:space="preserve">Phase 1 of </w:t>
      </w:r>
      <w:r w:rsidRPr="00D82239">
        <w:rPr>
          <w:rFonts w:ascii="Segoe UI" w:hAnsi="Segoe UI" w:cs="Segoe UI"/>
          <w:sz w:val="22"/>
          <w:szCs w:val="22"/>
        </w:rPr>
        <w:t xml:space="preserve">the Commission’s </w:t>
      </w:r>
      <w:r>
        <w:rPr>
          <w:rFonts w:ascii="Segoe UI" w:hAnsi="Segoe UI" w:cs="Segoe UI"/>
          <w:sz w:val="22"/>
          <w:szCs w:val="22"/>
        </w:rPr>
        <w:t>R</w:t>
      </w:r>
      <w:r w:rsidRPr="00D82239">
        <w:rPr>
          <w:rFonts w:ascii="Segoe UI" w:hAnsi="Segoe UI" w:cs="Segoe UI"/>
          <w:sz w:val="22"/>
          <w:szCs w:val="22"/>
        </w:rPr>
        <w:t>eview and which the Progress Evaluation Audit has found to be continuing across the organisation.</w:t>
      </w:r>
    </w:p>
    <w:p w14:paraId="0A6D501B" w14:textId="77777777" w:rsidR="00764A33" w:rsidRPr="00D82239" w:rsidRDefault="00764A33" w:rsidP="00764A33">
      <w:pPr>
        <w:pStyle w:val="paragraph"/>
        <w:spacing w:before="0" w:beforeAutospacing="0" w:line="276" w:lineRule="auto"/>
        <w:rPr>
          <w:rFonts w:ascii="Segoe UI" w:hAnsi="Segoe UI" w:cs="Segoe UI"/>
          <w:sz w:val="22"/>
          <w:szCs w:val="22"/>
        </w:rPr>
      </w:pPr>
      <w:r w:rsidRPr="00D82239">
        <w:rPr>
          <w:rFonts w:ascii="Segoe UI" w:hAnsi="Segoe UI" w:cs="Segoe UI"/>
          <w:sz w:val="22"/>
          <w:szCs w:val="22"/>
        </w:rPr>
        <w:t xml:space="preserve">Workplace flexibility is defined as </w:t>
      </w:r>
      <w:r>
        <w:rPr>
          <w:rFonts w:ascii="Segoe UI" w:hAnsi="Segoe UI" w:cs="Segoe UI"/>
          <w:sz w:val="22"/>
          <w:szCs w:val="22"/>
        </w:rPr>
        <w:t>‘</w:t>
      </w:r>
      <w:r w:rsidRPr="00D82239">
        <w:rPr>
          <w:rFonts w:ascii="Segoe UI" w:hAnsi="Segoe UI" w:cs="Segoe UI"/>
          <w:sz w:val="22"/>
          <w:szCs w:val="22"/>
        </w:rPr>
        <w:t xml:space="preserve">the ability of workers to make choices influencing when, where and for how long they engage in work-related </w:t>
      </w:r>
      <w:proofErr w:type="gramStart"/>
      <w:r w:rsidRPr="00D82239">
        <w:rPr>
          <w:rFonts w:ascii="Segoe UI" w:hAnsi="Segoe UI" w:cs="Segoe UI"/>
          <w:sz w:val="22"/>
          <w:szCs w:val="22"/>
        </w:rPr>
        <w:t>tasks</w:t>
      </w:r>
      <w:r>
        <w:rPr>
          <w:rFonts w:ascii="Segoe UI" w:hAnsi="Segoe UI" w:cs="Segoe UI"/>
          <w:sz w:val="22"/>
          <w:szCs w:val="22"/>
        </w:rPr>
        <w:t>’</w:t>
      </w:r>
      <w:proofErr w:type="gramEnd"/>
      <w:r w:rsidRPr="00D82239">
        <w:rPr>
          <w:rFonts w:ascii="Segoe UI" w:hAnsi="Segoe UI" w:cs="Segoe UI"/>
          <w:sz w:val="22"/>
          <w:szCs w:val="22"/>
        </w:rPr>
        <w:t>.</w:t>
      </w:r>
      <w:r w:rsidRPr="00D82239">
        <w:rPr>
          <w:rStyle w:val="FootnoteReference"/>
          <w:rFonts w:ascii="Segoe UI" w:hAnsi="Segoe UI" w:cs="Segoe UI"/>
          <w:sz w:val="22"/>
          <w:szCs w:val="22"/>
        </w:rPr>
        <w:footnoteReference w:id="1"/>
      </w:r>
      <w:r w:rsidRPr="00D82239">
        <w:rPr>
          <w:rFonts w:ascii="Segoe UI" w:hAnsi="Segoe UI" w:cs="Segoe UI"/>
          <w:sz w:val="22"/>
          <w:szCs w:val="22"/>
        </w:rPr>
        <w:t xml:space="preserve"> Legislation sets out the minimum standards for achieving workplace flexibility and key legal requirements are included in the </w:t>
      </w:r>
      <w:r w:rsidRPr="00D82239">
        <w:rPr>
          <w:rFonts w:ascii="Segoe UI" w:hAnsi="Segoe UI" w:cs="Segoe UI"/>
          <w:i/>
          <w:iCs/>
          <w:sz w:val="22"/>
          <w:szCs w:val="22"/>
        </w:rPr>
        <w:t xml:space="preserve">Equal Opportunity Act 2010 </w:t>
      </w:r>
      <w:r w:rsidRPr="00D82239">
        <w:rPr>
          <w:rFonts w:ascii="Segoe UI" w:hAnsi="Segoe UI" w:cs="Segoe UI"/>
          <w:sz w:val="22"/>
          <w:szCs w:val="22"/>
        </w:rPr>
        <w:t>(Vic)</w:t>
      </w:r>
      <w:r w:rsidRPr="003446F4">
        <w:rPr>
          <w:rFonts w:ascii="Segoe UI" w:hAnsi="Segoe UI" w:cs="Segoe UI"/>
          <w:sz w:val="22"/>
          <w:szCs w:val="22"/>
        </w:rPr>
        <w:t>,</w:t>
      </w:r>
      <w:r w:rsidRPr="00D82239">
        <w:rPr>
          <w:rFonts w:ascii="Segoe UI" w:hAnsi="Segoe UI" w:cs="Segoe UI"/>
          <w:i/>
          <w:iCs/>
          <w:sz w:val="22"/>
          <w:szCs w:val="22"/>
        </w:rPr>
        <w:t xml:space="preserve"> </w:t>
      </w:r>
      <w:r w:rsidRPr="00D82239">
        <w:rPr>
          <w:rFonts w:ascii="Segoe UI" w:hAnsi="Segoe UI" w:cs="Segoe UI"/>
          <w:sz w:val="22"/>
          <w:szCs w:val="22"/>
        </w:rPr>
        <w:t xml:space="preserve">the </w:t>
      </w:r>
      <w:r w:rsidRPr="00D82239">
        <w:rPr>
          <w:rFonts w:ascii="Segoe UI" w:hAnsi="Segoe UI" w:cs="Segoe UI"/>
          <w:i/>
          <w:iCs/>
          <w:sz w:val="22"/>
          <w:szCs w:val="22"/>
        </w:rPr>
        <w:t xml:space="preserve">Carer Recognition Act 2010 </w:t>
      </w:r>
      <w:r w:rsidRPr="00D82239">
        <w:rPr>
          <w:rFonts w:ascii="Segoe UI" w:hAnsi="Segoe UI" w:cs="Segoe UI"/>
          <w:sz w:val="22"/>
          <w:szCs w:val="22"/>
        </w:rPr>
        <w:t>(Vic)</w:t>
      </w:r>
      <w:r w:rsidRPr="00D82239">
        <w:rPr>
          <w:rFonts w:ascii="Segoe UI" w:hAnsi="Segoe UI" w:cs="Segoe UI"/>
          <w:i/>
          <w:iCs/>
          <w:sz w:val="22"/>
          <w:szCs w:val="22"/>
        </w:rPr>
        <w:t xml:space="preserve"> </w:t>
      </w:r>
      <w:r w:rsidRPr="00D82239">
        <w:rPr>
          <w:rFonts w:ascii="Segoe UI" w:hAnsi="Segoe UI" w:cs="Segoe UI"/>
          <w:sz w:val="22"/>
          <w:szCs w:val="22"/>
        </w:rPr>
        <w:t xml:space="preserve">and the </w:t>
      </w:r>
      <w:r w:rsidRPr="00D82239">
        <w:rPr>
          <w:rFonts w:ascii="Segoe UI" w:hAnsi="Segoe UI" w:cs="Segoe UI"/>
          <w:i/>
          <w:iCs/>
          <w:sz w:val="22"/>
          <w:szCs w:val="22"/>
        </w:rPr>
        <w:t xml:space="preserve">Fair Work Act 2009 </w:t>
      </w:r>
      <w:r w:rsidRPr="00D82239">
        <w:rPr>
          <w:rFonts w:ascii="Segoe UI" w:hAnsi="Segoe UI" w:cs="Segoe UI"/>
          <w:sz w:val="22"/>
          <w:szCs w:val="22"/>
        </w:rPr>
        <w:t>(Vic)</w:t>
      </w:r>
      <w:r w:rsidRPr="00D82239">
        <w:rPr>
          <w:rFonts w:ascii="Segoe UI" w:hAnsi="Segoe UI" w:cs="Segoe UI"/>
          <w:i/>
          <w:iCs/>
          <w:sz w:val="22"/>
          <w:szCs w:val="22"/>
        </w:rPr>
        <w:t xml:space="preserve">. </w:t>
      </w:r>
      <w:r w:rsidRPr="00D82239">
        <w:rPr>
          <w:rFonts w:ascii="Segoe UI" w:hAnsi="Segoe UI" w:cs="Segoe UI"/>
          <w:sz w:val="22"/>
          <w:szCs w:val="22"/>
        </w:rPr>
        <w:t>The nature of workplace flexibility is different for each organisation and each individual person who accesses it. Some key features of workplace flexibility include flexible hours, person-centred rostering, part-time work, remote work, job</w:t>
      </w:r>
      <w:r>
        <w:rPr>
          <w:rFonts w:ascii="Segoe UI" w:hAnsi="Segoe UI" w:cs="Segoe UI"/>
          <w:sz w:val="22"/>
          <w:szCs w:val="22"/>
        </w:rPr>
        <w:t>-</w:t>
      </w:r>
      <w:r w:rsidRPr="00D82239">
        <w:rPr>
          <w:rFonts w:ascii="Segoe UI" w:hAnsi="Segoe UI" w:cs="Segoe UI"/>
          <w:sz w:val="22"/>
          <w:szCs w:val="22"/>
        </w:rPr>
        <w:t>sharing and compressed hours.</w:t>
      </w:r>
    </w:p>
    <w:p w14:paraId="1EA6DF06" w14:textId="77777777" w:rsidR="00764A33" w:rsidRPr="001853C2" w:rsidRDefault="00764A33" w:rsidP="00764A33">
      <w:pPr>
        <w:pStyle w:val="Heading2"/>
      </w:pPr>
      <w:r w:rsidRPr="001853C2">
        <w:t>What are the impacts of this reform barrier for implementing the Review recommendations?</w:t>
      </w:r>
    </w:p>
    <w:p w14:paraId="02C69A09" w14:textId="77777777" w:rsidR="00764A33" w:rsidRPr="003446F4" w:rsidRDefault="00764A33" w:rsidP="00764A33">
      <w:pPr>
        <w:pStyle w:val="paragraph"/>
        <w:spacing w:before="0" w:beforeAutospacing="0" w:line="276" w:lineRule="auto"/>
        <w:rPr>
          <w:rFonts w:ascii="Segoe UI" w:hAnsi="Segoe UI" w:cs="Segoe UI"/>
          <w:sz w:val="22"/>
          <w:szCs w:val="22"/>
        </w:rPr>
      </w:pPr>
      <w:r w:rsidRPr="003446F4">
        <w:rPr>
          <w:rFonts w:ascii="Segoe UI" w:hAnsi="Segoe UI" w:cs="Segoe UI"/>
          <w:sz w:val="22"/>
          <w:szCs w:val="22"/>
        </w:rPr>
        <w:t>The current approach to flexibility may be a barrier to implementing the following recommendations:</w:t>
      </w:r>
    </w:p>
    <w:p w14:paraId="18100F3B" w14:textId="77777777" w:rsidR="00764A33" w:rsidRPr="00764A33" w:rsidRDefault="00764A33" w:rsidP="00764A33">
      <w:pPr>
        <w:pStyle w:val="ListParagraph"/>
        <w:numPr>
          <w:ilvl w:val="0"/>
          <w:numId w:val="1"/>
        </w:numPr>
        <w:spacing w:line="276" w:lineRule="auto"/>
        <w:rPr>
          <w:rFonts w:ascii="Segoe UI" w:hAnsi="Segoe UI" w:cs="Segoe UI"/>
        </w:rPr>
      </w:pPr>
      <w:r w:rsidRPr="00764A33">
        <w:rPr>
          <w:rFonts w:ascii="Segoe UI" w:hAnsi="Segoe UI" w:cs="Segoe UI"/>
        </w:rPr>
        <w:lastRenderedPageBreak/>
        <w:t>Recommendation 28: Removing structural barriers to career advancement: The Commission heard that the training program for Mobile Intensive Care Ambulance (MICA) paramedics, coupled with the work experience requirements, is difficult to manage for employees with caring responsibilities (most of whom are women). This has resulted in women having difficulty not only in gaining access to the program, but also in meaningfully participating in and completing the MICA training program.</w:t>
      </w:r>
    </w:p>
    <w:p w14:paraId="3B251A9C" w14:textId="77777777" w:rsidR="00764A33" w:rsidRPr="00764A33" w:rsidRDefault="00764A33" w:rsidP="00764A33">
      <w:pPr>
        <w:pStyle w:val="ListParagraph"/>
        <w:numPr>
          <w:ilvl w:val="0"/>
          <w:numId w:val="1"/>
        </w:numPr>
        <w:spacing w:line="276" w:lineRule="auto"/>
        <w:rPr>
          <w:rFonts w:ascii="Segoe UI" w:hAnsi="Segoe UI" w:cs="Segoe UI"/>
        </w:rPr>
      </w:pPr>
      <w:r w:rsidRPr="00764A33">
        <w:rPr>
          <w:rFonts w:ascii="Segoe UI" w:hAnsi="Segoe UI" w:cs="Segoe UI"/>
        </w:rPr>
        <w:t>Recommendation 31:</w:t>
      </w:r>
      <w:r w:rsidRPr="00764A33">
        <w:t xml:space="preserve"> </w:t>
      </w:r>
      <w:r w:rsidRPr="00764A33">
        <w:rPr>
          <w:rFonts w:ascii="Segoe UI" w:hAnsi="Segoe UI" w:cs="Segoe UI"/>
        </w:rPr>
        <w:t>Implementing and tailoring the Think Flex First Framework: The Commission heard that the risk-averse nature of the organisation’s change-management approach and cumbersome administrative processes for accessing flexible work arrangements have been barriers to the implementation of flexible work initiatives such as introducing multiple roster types, part-time work options and effective transition-to-retirement processes. These initiatives would benefit all employees by allowing individuals to work in ways that suit their personal circumstances, in the short term and long term.</w:t>
      </w:r>
    </w:p>
    <w:p w14:paraId="197AAACA" w14:textId="77777777" w:rsidR="00764A33" w:rsidRPr="00764A33" w:rsidRDefault="00764A33" w:rsidP="00764A33">
      <w:pPr>
        <w:pStyle w:val="ListParagraph"/>
        <w:numPr>
          <w:ilvl w:val="0"/>
          <w:numId w:val="1"/>
        </w:numPr>
        <w:spacing w:line="276" w:lineRule="auto"/>
        <w:rPr>
          <w:rFonts w:ascii="Segoe UI" w:hAnsi="Segoe UI" w:cs="Segoe UI"/>
        </w:rPr>
      </w:pPr>
      <w:r w:rsidRPr="00764A33">
        <w:rPr>
          <w:rFonts w:ascii="Segoe UI" w:hAnsi="Segoe UI" w:cs="Segoe UI"/>
        </w:rPr>
        <w:t>Recommendation 33: Building knowledge, capability and accountability: Ambulance Victoria’s approach to flexibility has made it challenging to build a collective understanding of flexible work arrangements.</w:t>
      </w:r>
    </w:p>
    <w:p w14:paraId="11F6D23D" w14:textId="77777777" w:rsidR="00764A33" w:rsidRPr="00764A33" w:rsidRDefault="00764A33" w:rsidP="00764A33">
      <w:pPr>
        <w:pStyle w:val="ListParagraph"/>
        <w:numPr>
          <w:ilvl w:val="0"/>
          <w:numId w:val="1"/>
        </w:numPr>
        <w:spacing w:line="276" w:lineRule="auto"/>
        <w:rPr>
          <w:rFonts w:ascii="Segoe UI" w:hAnsi="Segoe UI" w:cs="Segoe UI"/>
        </w:rPr>
      </w:pPr>
      <w:r w:rsidRPr="00764A33">
        <w:rPr>
          <w:rFonts w:ascii="Segoe UI" w:hAnsi="Segoe UI" w:cs="Segoe UI"/>
        </w:rPr>
        <w:t>Recommendations 36: Strengthening workplace equality education and training: Ambulance Victoria’s current flexibility approach contributes to persistent workforce attitudinal issues, which limits the effectiveness of workplace equality education and training.</w:t>
      </w:r>
    </w:p>
    <w:p w14:paraId="44EC333E" w14:textId="77777777" w:rsidR="00764A33" w:rsidRPr="004334EA" w:rsidRDefault="00764A33" w:rsidP="00764A33">
      <w:pPr>
        <w:pStyle w:val="ListParagraph"/>
        <w:numPr>
          <w:ilvl w:val="0"/>
          <w:numId w:val="1"/>
        </w:numPr>
        <w:spacing w:line="276" w:lineRule="auto"/>
        <w:rPr>
          <w:rFonts w:ascii="Segoe UI" w:hAnsi="Segoe UI" w:cs="Segoe UI"/>
        </w:rPr>
      </w:pPr>
      <w:r w:rsidRPr="00764A33">
        <w:rPr>
          <w:rFonts w:ascii="Segoe UI" w:hAnsi="Segoe UI" w:cs="Segoe UI"/>
        </w:rPr>
        <w:t>Recommendation 42: Organisational healing and cultural change through reflective practice: The Commission was told that Ambulance Victoria’s flexibility approach creates cultural divides</w:t>
      </w:r>
      <w:r>
        <w:rPr>
          <w:rFonts w:ascii="Segoe UI" w:hAnsi="Segoe UI" w:cs="Segoe UI"/>
        </w:rPr>
        <w:t xml:space="preserve"> where staff who have </w:t>
      </w:r>
      <w:r w:rsidRPr="00352393">
        <w:rPr>
          <w:rFonts w:ascii="Segoe UI" w:hAnsi="Segoe UI" w:cs="Segoe UI"/>
        </w:rPr>
        <w:t>flexible work arrangements</w:t>
      </w:r>
      <w:r>
        <w:rPr>
          <w:rFonts w:ascii="Segoe UI" w:hAnsi="Segoe UI" w:cs="Segoe UI"/>
        </w:rPr>
        <w:t xml:space="preserve"> are seen to be unfairly advantaged. The Commission considers that this sort of divide holds back organisational healing. </w:t>
      </w:r>
    </w:p>
    <w:p w14:paraId="3476BD7F" w14:textId="77777777" w:rsidR="00764A33" w:rsidRPr="003446F4" w:rsidRDefault="00764A33" w:rsidP="00764A33">
      <w:pPr>
        <w:pStyle w:val="paragraph"/>
        <w:spacing w:before="0" w:beforeAutospacing="0" w:line="276" w:lineRule="auto"/>
        <w:rPr>
          <w:rFonts w:ascii="Segoe UI" w:hAnsi="Segoe UI" w:cs="Segoe UI"/>
          <w:sz w:val="22"/>
          <w:szCs w:val="22"/>
        </w:rPr>
      </w:pPr>
      <w:r w:rsidRPr="003446F4">
        <w:rPr>
          <w:rFonts w:ascii="Segoe UI" w:hAnsi="Segoe UI" w:cs="Segoe UI"/>
          <w:sz w:val="22"/>
          <w:szCs w:val="22"/>
        </w:rPr>
        <w:t>Select the links above for further information on how this barrier impacts recommendation implementation.</w:t>
      </w:r>
    </w:p>
    <w:p w14:paraId="4A508129" w14:textId="77777777" w:rsidR="00764A33" w:rsidRPr="001853C2" w:rsidRDefault="00764A33" w:rsidP="00764A33">
      <w:pPr>
        <w:pStyle w:val="Heading2"/>
      </w:pPr>
      <w:bookmarkStart w:id="0" w:name="_Toc180665496"/>
      <w:r w:rsidRPr="001853C2">
        <w:t>What are the impacts of this reform barrier for Ambulance Victoria’s workforce?</w:t>
      </w:r>
    </w:p>
    <w:bookmarkEnd w:id="0"/>
    <w:p w14:paraId="0D77DB70" w14:textId="77777777" w:rsidR="00764A33" w:rsidRPr="003166FC" w:rsidRDefault="00764A33" w:rsidP="00764A33">
      <w:pPr>
        <w:pStyle w:val="Heading3"/>
      </w:pPr>
      <w:r w:rsidRPr="003166FC">
        <w:t xml:space="preserve">Ambulance Victoria’s processes for accessing </w:t>
      </w:r>
      <w:r w:rsidRPr="00F02BF1">
        <w:t>flexible work arrangements</w:t>
      </w:r>
      <w:r w:rsidRPr="003166FC">
        <w:t xml:space="preserve"> are complex and time</w:t>
      </w:r>
      <w:r>
        <w:t>-</w:t>
      </w:r>
      <w:r w:rsidRPr="003166FC">
        <w:t>consuming</w:t>
      </w:r>
    </w:p>
    <w:p w14:paraId="4A2A0D7C" w14:textId="77777777" w:rsidR="00764A33" w:rsidRPr="003166FC" w:rsidRDefault="00764A33" w:rsidP="00764A33">
      <w:pPr>
        <w:pStyle w:val="paragraph"/>
        <w:spacing w:before="0" w:beforeAutospacing="0" w:line="276" w:lineRule="auto"/>
        <w:rPr>
          <w:rFonts w:ascii="Segoe UI" w:hAnsi="Segoe UI" w:cs="Segoe UI"/>
          <w:sz w:val="22"/>
          <w:szCs w:val="22"/>
        </w:rPr>
      </w:pPr>
      <w:r w:rsidRPr="003166FC">
        <w:rPr>
          <w:rFonts w:ascii="Segoe UI" w:hAnsi="Segoe UI" w:cs="Segoe UI"/>
          <w:sz w:val="22"/>
          <w:szCs w:val="22"/>
        </w:rPr>
        <w:t>The Commission heard that the current process for applying for flexible work is complex, time</w:t>
      </w:r>
      <w:r>
        <w:rPr>
          <w:rFonts w:ascii="Segoe UI" w:hAnsi="Segoe UI" w:cs="Segoe UI"/>
          <w:sz w:val="22"/>
          <w:szCs w:val="22"/>
        </w:rPr>
        <w:t>-</w:t>
      </w:r>
      <w:r w:rsidRPr="003166FC">
        <w:rPr>
          <w:rFonts w:ascii="Segoe UI" w:hAnsi="Segoe UI" w:cs="Segoe UI"/>
          <w:sz w:val="22"/>
          <w:szCs w:val="22"/>
        </w:rPr>
        <w:t xml:space="preserve">consuming and administratively laborious. In addition, managers often decline flexible work applications in the first instance as a means of testing which of the applicants ‘genuinely’ require a </w:t>
      </w:r>
      <w:r w:rsidRPr="00F02BF1">
        <w:rPr>
          <w:rFonts w:ascii="Segoe UI" w:hAnsi="Segoe UI" w:cs="Segoe UI"/>
          <w:sz w:val="22"/>
          <w:szCs w:val="22"/>
        </w:rPr>
        <w:t>flexible work arrangement. These practices present clear structural barriers to accessing flexible work arrangements</w:t>
      </w:r>
      <w:r w:rsidRPr="003166FC">
        <w:rPr>
          <w:rFonts w:ascii="Segoe UI" w:hAnsi="Segoe UI" w:cs="Segoe UI"/>
          <w:sz w:val="22"/>
          <w:szCs w:val="22"/>
        </w:rPr>
        <w:t xml:space="preserve"> for people with some disabilities, as is detailed further in </w:t>
      </w:r>
      <w:r w:rsidRPr="001277B4">
        <w:rPr>
          <w:rFonts w:ascii="Segoe UI" w:hAnsi="Segoe UI" w:cs="Segoe UI"/>
          <w:sz w:val="22"/>
          <w:szCs w:val="22"/>
        </w:rPr>
        <w:t>Reform Barrier: Archetypes – Diversity and Inclusion.</w:t>
      </w:r>
    </w:p>
    <w:p w14:paraId="4A5437EC" w14:textId="77777777" w:rsidR="00764A33" w:rsidRPr="003166FC" w:rsidRDefault="00764A33" w:rsidP="00764A33">
      <w:pPr>
        <w:pStyle w:val="Heading3"/>
      </w:pPr>
      <w:r w:rsidRPr="003166FC">
        <w:lastRenderedPageBreak/>
        <w:t>Lack of choice and access to incentives to enable flexible work disadvantages some members of the Ambulance Victoria workforce</w:t>
      </w:r>
    </w:p>
    <w:p w14:paraId="1BF22577" w14:textId="77777777" w:rsidR="00764A33" w:rsidRPr="00764A33" w:rsidRDefault="00764A33" w:rsidP="00764A33">
      <w:pPr>
        <w:pStyle w:val="paragraph"/>
        <w:spacing w:before="0" w:beforeAutospacing="0" w:line="276" w:lineRule="auto"/>
        <w:rPr>
          <w:rFonts w:ascii="Segoe UI" w:hAnsi="Segoe UI" w:cs="Segoe UI"/>
          <w:sz w:val="22"/>
          <w:szCs w:val="22"/>
        </w:rPr>
      </w:pPr>
      <w:r w:rsidRPr="003166FC">
        <w:rPr>
          <w:rFonts w:ascii="Segoe UI" w:hAnsi="Segoe UI" w:cs="Segoe UI"/>
          <w:sz w:val="22"/>
          <w:szCs w:val="22"/>
        </w:rPr>
        <w:t xml:space="preserve">During the Progress Evaluation Audit, the Commission heard that flexibility is seen to be a privilege afforded to those who ‘really need it’ or have a legal basis for their request. This disadvantages people who require </w:t>
      </w:r>
      <w:r w:rsidRPr="00F02BF1">
        <w:rPr>
          <w:rFonts w:ascii="Segoe UI" w:hAnsi="Segoe UI" w:cs="Segoe UI"/>
          <w:sz w:val="22"/>
          <w:szCs w:val="22"/>
        </w:rPr>
        <w:t>flexible working arrangements</w:t>
      </w:r>
      <w:r w:rsidRPr="003166FC">
        <w:rPr>
          <w:rFonts w:ascii="Segoe UI" w:hAnsi="Segoe UI" w:cs="Segoe UI"/>
          <w:sz w:val="22"/>
          <w:szCs w:val="22"/>
        </w:rPr>
        <w:t xml:space="preserve"> for intermittent reasons, such as to accommodate cultural practices. This dynamic can inform social prejudices against people who </w:t>
      </w:r>
      <w:r>
        <w:rPr>
          <w:rFonts w:ascii="Segoe UI" w:hAnsi="Segoe UI" w:cs="Segoe UI"/>
          <w:sz w:val="22"/>
          <w:szCs w:val="22"/>
        </w:rPr>
        <w:t xml:space="preserve">have </w:t>
      </w:r>
      <w:r w:rsidRPr="003166FC">
        <w:rPr>
          <w:rFonts w:ascii="Segoe UI" w:hAnsi="Segoe UI" w:cs="Segoe UI"/>
          <w:sz w:val="22"/>
          <w:szCs w:val="22"/>
        </w:rPr>
        <w:t xml:space="preserve">had their requests approved and acts as a barrier </w:t>
      </w:r>
      <w:r>
        <w:rPr>
          <w:rFonts w:ascii="Segoe UI" w:hAnsi="Segoe UI" w:cs="Segoe UI"/>
          <w:sz w:val="22"/>
          <w:szCs w:val="22"/>
        </w:rPr>
        <w:t>that</w:t>
      </w:r>
      <w:r w:rsidRPr="003166FC">
        <w:rPr>
          <w:rFonts w:ascii="Segoe UI" w:hAnsi="Segoe UI" w:cs="Segoe UI"/>
          <w:sz w:val="22"/>
          <w:szCs w:val="22"/>
        </w:rPr>
        <w:t xml:space="preserve"> encourag</w:t>
      </w:r>
      <w:r>
        <w:rPr>
          <w:rFonts w:ascii="Segoe UI" w:hAnsi="Segoe UI" w:cs="Segoe UI"/>
          <w:sz w:val="22"/>
          <w:szCs w:val="22"/>
        </w:rPr>
        <w:t>es</w:t>
      </w:r>
      <w:r w:rsidRPr="003166FC">
        <w:rPr>
          <w:rFonts w:ascii="Segoe UI" w:hAnsi="Segoe UI" w:cs="Segoe UI"/>
          <w:sz w:val="22"/>
          <w:szCs w:val="22"/>
        </w:rPr>
        <w:t xml:space="preserve"> people to </w:t>
      </w:r>
      <w:r w:rsidRPr="00764A33">
        <w:rPr>
          <w:rFonts w:ascii="Segoe UI" w:hAnsi="Segoe UI" w:cs="Segoe UI"/>
          <w:sz w:val="22"/>
          <w:szCs w:val="22"/>
        </w:rPr>
        <w:t xml:space="preserve">choose unsociable shifts </w:t>
      </w:r>
      <w:proofErr w:type="gramStart"/>
      <w:r w:rsidRPr="00764A33">
        <w:rPr>
          <w:rFonts w:ascii="Segoe UI" w:hAnsi="Segoe UI" w:cs="Segoe UI"/>
          <w:sz w:val="22"/>
          <w:szCs w:val="22"/>
        </w:rPr>
        <w:t>so as to</w:t>
      </w:r>
      <w:proofErr w:type="gramEnd"/>
      <w:r w:rsidRPr="00764A33">
        <w:rPr>
          <w:rFonts w:ascii="Segoe UI" w:hAnsi="Segoe UI" w:cs="Segoe UI"/>
          <w:sz w:val="22"/>
          <w:szCs w:val="22"/>
        </w:rPr>
        <w:t xml:space="preserve"> be part of roster solutions.</w:t>
      </w:r>
    </w:p>
    <w:p w14:paraId="4EDF666D" w14:textId="221B6562" w:rsidR="00764A33" w:rsidRPr="00764A33" w:rsidRDefault="00764A33" w:rsidP="00764A33">
      <w:pPr>
        <w:pStyle w:val="BodyText"/>
        <w:jc w:val="center"/>
        <w:rPr>
          <w:rFonts w:ascii="Segoe UI" w:hAnsi="Segoe UI" w:cs="Segoe UI"/>
          <w:i/>
          <w:iCs/>
          <w:szCs w:val="22"/>
        </w:rPr>
      </w:pPr>
      <w:r w:rsidRPr="00764A33">
        <w:rPr>
          <w:rFonts w:ascii="Segoe UI" w:hAnsi="Segoe UI" w:cs="Segoe UI"/>
          <w:i/>
          <w:iCs/>
          <w:szCs w:val="22"/>
        </w:rPr>
        <w:t>There's no incentivisation or acknowledgement or recognition of working unsociable hours or weekend impact or those sorts of things. And I think, culturally, that creates a challenge because there's a perception that if somebody is working flexibly on a Monday and Tuesday because that meets their needs, people see it is unfair and unreasonable when you're getting paid the same as I am and I'm working Saturday night shift, you know, so that that kind of creates some of that cultural divide and risk.</w:t>
      </w:r>
      <w:r>
        <w:rPr>
          <w:rFonts w:ascii="Segoe UI" w:hAnsi="Segoe UI" w:cs="Segoe UI"/>
          <w:i/>
          <w:iCs/>
          <w:szCs w:val="22"/>
        </w:rPr>
        <w:br/>
      </w:r>
      <w:r w:rsidRPr="00764A33">
        <w:rPr>
          <w:rFonts w:ascii="Segoe UI" w:hAnsi="Segoe UI" w:cs="Segoe UI"/>
          <w:i/>
          <w:iCs/>
          <w:szCs w:val="22"/>
        </w:rPr>
        <w:t>Participant</w:t>
      </w:r>
    </w:p>
    <w:p w14:paraId="6B693CFC" w14:textId="77777777" w:rsidR="00764A33" w:rsidRPr="00B65992" w:rsidRDefault="00764A33" w:rsidP="00764A33">
      <w:pPr>
        <w:pStyle w:val="BodyText"/>
        <w:jc w:val="center"/>
        <w:rPr>
          <w:rFonts w:ascii="Segoe UI" w:hAnsi="Segoe UI" w:cs="Segoe UI"/>
          <w:color w:val="00B050"/>
          <w:szCs w:val="22"/>
        </w:rPr>
      </w:pPr>
    </w:p>
    <w:p w14:paraId="3F558423" w14:textId="77777777" w:rsidR="00764A33" w:rsidRDefault="00764A33" w:rsidP="00764A33">
      <w:pPr>
        <w:pStyle w:val="paragraph"/>
        <w:spacing w:before="0" w:beforeAutospacing="0" w:line="276" w:lineRule="auto"/>
      </w:pPr>
      <w:r w:rsidRPr="00CE00BA">
        <w:rPr>
          <w:rFonts w:ascii="Segoe UI" w:eastAsiaTheme="majorEastAsia" w:hAnsi="Segoe UI" w:cs="Segoe UI"/>
          <w:sz w:val="22"/>
          <w:szCs w:val="22"/>
        </w:rPr>
        <w:t xml:space="preserve">Of the </w:t>
      </w:r>
      <w:r w:rsidRPr="00943D6E">
        <w:rPr>
          <w:rFonts w:ascii="Segoe UI" w:hAnsi="Segoe UI" w:cs="Segoe UI"/>
          <w:sz w:val="22"/>
          <w:szCs w:val="22"/>
        </w:rPr>
        <w:t>people</w:t>
      </w:r>
      <w:r w:rsidRPr="00CE00BA">
        <w:rPr>
          <w:rFonts w:ascii="Segoe UI" w:eastAsiaTheme="majorEastAsia" w:hAnsi="Segoe UI" w:cs="Segoe UI"/>
          <w:sz w:val="22"/>
          <w:szCs w:val="22"/>
        </w:rPr>
        <w:t xml:space="preserve"> </w:t>
      </w:r>
      <w:r>
        <w:rPr>
          <w:rFonts w:ascii="Segoe UI" w:eastAsiaTheme="majorEastAsia" w:hAnsi="Segoe UI" w:cs="Segoe UI"/>
          <w:sz w:val="22"/>
          <w:szCs w:val="22"/>
        </w:rPr>
        <w:t>the Commission</w:t>
      </w:r>
      <w:r w:rsidRPr="00CE00BA">
        <w:rPr>
          <w:rFonts w:ascii="Segoe UI" w:eastAsiaTheme="majorEastAsia" w:hAnsi="Segoe UI" w:cs="Segoe UI"/>
          <w:sz w:val="22"/>
          <w:szCs w:val="22"/>
        </w:rPr>
        <w:t xml:space="preserve"> surveyed</w:t>
      </w:r>
      <w:r>
        <w:rPr>
          <w:rFonts w:ascii="Segoe UI" w:eastAsiaTheme="majorEastAsia" w:hAnsi="Segoe UI" w:cs="Segoe UI"/>
          <w:sz w:val="22"/>
          <w:szCs w:val="22"/>
        </w:rPr>
        <w:t xml:space="preserve"> during the Progress Evaluation Audit</w:t>
      </w:r>
      <w:r w:rsidRPr="00CE00BA">
        <w:rPr>
          <w:rFonts w:ascii="Segoe UI" w:eastAsiaTheme="majorEastAsia" w:hAnsi="Segoe UI" w:cs="Segoe UI"/>
          <w:sz w:val="22"/>
          <w:szCs w:val="22"/>
        </w:rPr>
        <w:t>, 67% of respondents believe</w:t>
      </w:r>
      <w:r>
        <w:rPr>
          <w:rFonts w:ascii="Segoe UI" w:eastAsiaTheme="majorEastAsia" w:hAnsi="Segoe UI" w:cs="Segoe UI"/>
          <w:sz w:val="22"/>
          <w:szCs w:val="22"/>
        </w:rPr>
        <w:t>d</w:t>
      </w:r>
      <w:r w:rsidRPr="00CE00BA">
        <w:rPr>
          <w:rFonts w:ascii="Segoe UI" w:eastAsiaTheme="majorEastAsia" w:hAnsi="Segoe UI" w:cs="Segoe UI"/>
          <w:sz w:val="22"/>
          <w:szCs w:val="22"/>
        </w:rPr>
        <w:t xml:space="preserve"> that A</w:t>
      </w:r>
      <w:r>
        <w:rPr>
          <w:rFonts w:ascii="Segoe UI" w:eastAsiaTheme="majorEastAsia" w:hAnsi="Segoe UI" w:cs="Segoe UI"/>
          <w:sz w:val="22"/>
          <w:szCs w:val="22"/>
        </w:rPr>
        <w:t>mbulance Victoria</w:t>
      </w:r>
      <w:r w:rsidRPr="00CE00BA">
        <w:rPr>
          <w:rFonts w:ascii="Segoe UI" w:eastAsiaTheme="majorEastAsia" w:hAnsi="Segoe UI" w:cs="Segoe UI"/>
          <w:sz w:val="22"/>
          <w:szCs w:val="22"/>
        </w:rPr>
        <w:t xml:space="preserve"> does not support </w:t>
      </w:r>
      <w:r>
        <w:rPr>
          <w:rFonts w:ascii="Segoe UI" w:eastAsiaTheme="majorEastAsia" w:hAnsi="Segoe UI" w:cs="Segoe UI"/>
          <w:sz w:val="22"/>
          <w:szCs w:val="22"/>
        </w:rPr>
        <w:t>Flexible Work Arrangements</w:t>
      </w:r>
      <w:r w:rsidRPr="00CE00BA">
        <w:rPr>
          <w:rFonts w:ascii="Segoe UI" w:eastAsiaTheme="majorEastAsia" w:hAnsi="Segoe UI" w:cs="Segoe UI"/>
          <w:sz w:val="22"/>
          <w:szCs w:val="22"/>
        </w:rPr>
        <w:t xml:space="preserve"> for all employees. 61% of survey respondents stated that they do not believe that Ambulance Victoria employees </w:t>
      </w:r>
      <w:r>
        <w:rPr>
          <w:rFonts w:ascii="Segoe UI" w:eastAsiaTheme="majorEastAsia" w:hAnsi="Segoe UI" w:cs="Segoe UI"/>
          <w:sz w:val="22"/>
          <w:szCs w:val="22"/>
        </w:rPr>
        <w:t>who</w:t>
      </w:r>
      <w:r w:rsidRPr="00CE00BA">
        <w:rPr>
          <w:rFonts w:ascii="Segoe UI" w:eastAsiaTheme="majorEastAsia" w:hAnsi="Segoe UI" w:cs="Segoe UI"/>
          <w:sz w:val="22"/>
          <w:szCs w:val="22"/>
        </w:rPr>
        <w:t xml:space="preserve"> have a </w:t>
      </w:r>
      <w:r w:rsidRPr="00F02BF1">
        <w:rPr>
          <w:rFonts w:ascii="Segoe UI" w:eastAsiaTheme="majorEastAsia" w:hAnsi="Segoe UI" w:cs="Segoe UI"/>
          <w:sz w:val="22"/>
          <w:szCs w:val="22"/>
        </w:rPr>
        <w:t xml:space="preserve">flexible work </w:t>
      </w:r>
      <w:r>
        <w:rPr>
          <w:rFonts w:ascii="Segoe UI" w:eastAsiaTheme="majorEastAsia" w:hAnsi="Segoe UI" w:cs="Segoe UI"/>
          <w:sz w:val="22"/>
          <w:szCs w:val="22"/>
        </w:rPr>
        <w:t>arrangement</w:t>
      </w:r>
      <w:r w:rsidRPr="00CE00BA">
        <w:rPr>
          <w:rFonts w:ascii="Segoe UI" w:eastAsiaTheme="majorEastAsia" w:hAnsi="Segoe UI" w:cs="Segoe UI"/>
          <w:sz w:val="22"/>
          <w:szCs w:val="22"/>
        </w:rPr>
        <w:t xml:space="preserve"> are equally valued in the workplace </w:t>
      </w:r>
      <w:r>
        <w:rPr>
          <w:rFonts w:ascii="Segoe UI" w:eastAsiaTheme="majorEastAsia" w:hAnsi="Segoe UI" w:cs="Segoe UI"/>
          <w:sz w:val="22"/>
          <w:szCs w:val="22"/>
        </w:rPr>
        <w:t>to</w:t>
      </w:r>
      <w:r w:rsidRPr="00CE00BA">
        <w:rPr>
          <w:rFonts w:ascii="Segoe UI" w:eastAsiaTheme="majorEastAsia" w:hAnsi="Segoe UI" w:cs="Segoe UI"/>
          <w:sz w:val="22"/>
          <w:szCs w:val="22"/>
        </w:rPr>
        <w:t xml:space="preserve"> employees </w:t>
      </w:r>
      <w:r>
        <w:rPr>
          <w:rFonts w:ascii="Segoe UI" w:eastAsiaTheme="majorEastAsia" w:hAnsi="Segoe UI" w:cs="Segoe UI"/>
          <w:sz w:val="22"/>
          <w:szCs w:val="22"/>
        </w:rPr>
        <w:t>who</w:t>
      </w:r>
      <w:r w:rsidRPr="00CE00BA">
        <w:rPr>
          <w:rFonts w:ascii="Segoe UI" w:eastAsiaTheme="majorEastAsia" w:hAnsi="Segoe UI" w:cs="Segoe UI"/>
          <w:sz w:val="22"/>
          <w:szCs w:val="22"/>
        </w:rPr>
        <w:t xml:space="preserve"> do not work flexibly. This was particularly true for respondents with disabilit</w:t>
      </w:r>
      <w:r>
        <w:rPr>
          <w:rFonts w:ascii="Segoe UI" w:eastAsiaTheme="majorEastAsia" w:hAnsi="Segoe UI" w:cs="Segoe UI"/>
          <w:sz w:val="22"/>
          <w:szCs w:val="22"/>
        </w:rPr>
        <w:t>ies</w:t>
      </w:r>
      <w:r w:rsidRPr="00CE00BA">
        <w:rPr>
          <w:rFonts w:ascii="Segoe UI" w:eastAsiaTheme="majorEastAsia" w:hAnsi="Segoe UI" w:cs="Segoe UI"/>
          <w:sz w:val="22"/>
          <w:szCs w:val="22"/>
        </w:rPr>
        <w:t>, young people and First Nations staff members</w:t>
      </w:r>
      <w:r>
        <w:rPr>
          <w:rFonts w:ascii="Segoe UI" w:eastAsiaTheme="majorEastAsia" w:hAnsi="Segoe UI" w:cs="Segoe UI"/>
          <w:sz w:val="22"/>
          <w:szCs w:val="22"/>
        </w:rPr>
        <w:t>,</w:t>
      </w:r>
      <w:r w:rsidRPr="00CE00BA">
        <w:rPr>
          <w:rFonts w:ascii="Segoe UI" w:eastAsiaTheme="majorEastAsia" w:hAnsi="Segoe UI" w:cs="Segoe UI"/>
          <w:sz w:val="22"/>
          <w:szCs w:val="22"/>
        </w:rPr>
        <w:t xml:space="preserve"> who experience additional social barriers. </w:t>
      </w:r>
    </w:p>
    <w:p w14:paraId="4EBAFE77" w14:textId="77777777" w:rsidR="00764A33" w:rsidRPr="001853C2" w:rsidRDefault="00764A33" w:rsidP="00764A33">
      <w:pPr>
        <w:pStyle w:val="Heading2"/>
      </w:pPr>
      <w:r w:rsidRPr="001853C2">
        <w:t>What are the impacts of this reform barrier for Ambulance Victoria’s leadership?</w:t>
      </w:r>
    </w:p>
    <w:p w14:paraId="76C10D91" w14:textId="77777777" w:rsidR="00764A33" w:rsidRPr="003166FC" w:rsidRDefault="00764A33" w:rsidP="00764A33">
      <w:pPr>
        <w:pStyle w:val="Heading3"/>
      </w:pPr>
      <w:r w:rsidRPr="003166FC">
        <w:t>Ambulance Victoria’s approach to flexible work is supported by rigid rostering practices and systems that do not enable roster reform innovation</w:t>
      </w:r>
    </w:p>
    <w:p w14:paraId="67327AEB" w14:textId="77777777" w:rsidR="00764A33" w:rsidRPr="00A376F5" w:rsidRDefault="00764A33" w:rsidP="00764A3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The Commission has</w:t>
      </w:r>
      <w:r w:rsidRPr="00A376F5">
        <w:rPr>
          <w:rFonts w:ascii="Segoe UI" w:eastAsiaTheme="majorEastAsia" w:hAnsi="Segoe UI" w:cs="Segoe UI"/>
          <w:sz w:val="22"/>
          <w:szCs w:val="22"/>
        </w:rPr>
        <w:t xml:space="preserve"> </w:t>
      </w:r>
      <w:r w:rsidRPr="00943D6E">
        <w:rPr>
          <w:rFonts w:ascii="Segoe UI" w:hAnsi="Segoe UI" w:cs="Segoe UI"/>
          <w:sz w:val="22"/>
          <w:szCs w:val="22"/>
        </w:rPr>
        <w:t>heard</w:t>
      </w:r>
      <w:r w:rsidRPr="00A376F5">
        <w:rPr>
          <w:rFonts w:ascii="Segoe UI" w:eastAsiaTheme="majorEastAsia" w:hAnsi="Segoe UI" w:cs="Segoe UI"/>
          <w:sz w:val="22"/>
          <w:szCs w:val="22"/>
        </w:rPr>
        <w:t xml:space="preserve"> that </w:t>
      </w:r>
      <w:r>
        <w:rPr>
          <w:rFonts w:ascii="Segoe UI" w:eastAsiaTheme="majorEastAsia" w:hAnsi="Segoe UI" w:cs="Segoe UI"/>
          <w:sz w:val="22"/>
          <w:szCs w:val="22"/>
        </w:rPr>
        <w:t>team leaders</w:t>
      </w:r>
      <w:r w:rsidRPr="00A376F5">
        <w:rPr>
          <w:rFonts w:ascii="Segoe UI" w:eastAsiaTheme="majorEastAsia" w:hAnsi="Segoe UI" w:cs="Segoe UI"/>
          <w:sz w:val="22"/>
          <w:szCs w:val="22"/>
        </w:rPr>
        <w:t xml:space="preserve"> ha</w:t>
      </w:r>
      <w:r>
        <w:rPr>
          <w:rFonts w:ascii="Segoe UI" w:eastAsiaTheme="majorEastAsia" w:hAnsi="Segoe UI" w:cs="Segoe UI"/>
          <w:sz w:val="22"/>
          <w:szCs w:val="22"/>
        </w:rPr>
        <w:t>ve</w:t>
      </w:r>
      <w:r w:rsidRPr="00A376F5">
        <w:rPr>
          <w:rFonts w:ascii="Segoe UI" w:eastAsiaTheme="majorEastAsia" w:hAnsi="Segoe UI" w:cs="Segoe UI"/>
          <w:sz w:val="22"/>
          <w:szCs w:val="22"/>
        </w:rPr>
        <w:t xml:space="preserve"> made attempts to improve their rostering </w:t>
      </w:r>
      <w:r>
        <w:rPr>
          <w:rFonts w:ascii="Segoe UI" w:eastAsiaTheme="majorEastAsia" w:hAnsi="Segoe UI" w:cs="Segoe UI"/>
          <w:sz w:val="22"/>
          <w:szCs w:val="22"/>
        </w:rPr>
        <w:t>approaches</w:t>
      </w:r>
      <w:r w:rsidRPr="00A376F5">
        <w:rPr>
          <w:rFonts w:ascii="Segoe UI" w:eastAsiaTheme="majorEastAsia" w:hAnsi="Segoe UI" w:cs="Segoe UI"/>
          <w:sz w:val="22"/>
          <w:szCs w:val="22"/>
        </w:rPr>
        <w:t xml:space="preserve">, providing creative solutions to the complex problems specific to their branches. </w:t>
      </w:r>
      <w:r>
        <w:rPr>
          <w:rFonts w:ascii="Segoe UI" w:eastAsiaTheme="majorEastAsia" w:hAnsi="Segoe UI" w:cs="Segoe UI"/>
          <w:sz w:val="22"/>
          <w:szCs w:val="22"/>
        </w:rPr>
        <w:t>The Commission</w:t>
      </w:r>
      <w:r w:rsidRPr="00A376F5">
        <w:rPr>
          <w:rFonts w:ascii="Segoe UI" w:eastAsiaTheme="majorEastAsia" w:hAnsi="Segoe UI" w:cs="Segoe UI"/>
          <w:sz w:val="22"/>
          <w:szCs w:val="22"/>
        </w:rPr>
        <w:t xml:space="preserve"> heard these were largely declined. </w:t>
      </w:r>
    </w:p>
    <w:p w14:paraId="73BB6720" w14:textId="3022D5E0" w:rsidR="00764A33" w:rsidRPr="00764A33" w:rsidRDefault="00764A33" w:rsidP="00764A33">
      <w:pPr>
        <w:pStyle w:val="Quote"/>
        <w:rPr>
          <w:color w:val="auto"/>
        </w:rPr>
      </w:pPr>
      <w:r w:rsidRPr="00764A33">
        <w:rPr>
          <w:rFonts w:ascii="Segoe UI" w:hAnsi="Segoe UI" w:cs="Segoe UI"/>
          <w:color w:val="auto"/>
        </w:rPr>
        <w:t xml:space="preserve">We're trying to do it. We want to provide a flexible workplace. But the reality is really important things that people are asking for, like, you know, where you've got a ten-hour day or a fourteen-hour night, can I start an hour late so I can ensure that I can pick up the kids from childcare, whatever it might be, or I can ensure that either my partner or I can be there. And it's things like that that would be </w:t>
      </w:r>
      <w:proofErr w:type="gramStart"/>
      <w:r w:rsidRPr="00764A33">
        <w:rPr>
          <w:rFonts w:ascii="Segoe UI" w:hAnsi="Segoe UI" w:cs="Segoe UI"/>
          <w:color w:val="auto"/>
        </w:rPr>
        <w:t>really meaningful</w:t>
      </w:r>
      <w:proofErr w:type="gramEnd"/>
      <w:r w:rsidRPr="00764A33">
        <w:rPr>
          <w:rFonts w:ascii="Segoe UI" w:hAnsi="Segoe UI" w:cs="Segoe UI"/>
          <w:color w:val="auto"/>
        </w:rPr>
        <w:t xml:space="preserve"> to people. But we haven't found a good pathway forward with that yet. But I think that Think Flex needs to be coupled with the money that gives us the capacity to do it.</w:t>
      </w:r>
      <w:r>
        <w:rPr>
          <w:rFonts w:ascii="Segoe UI" w:hAnsi="Segoe UI" w:cs="Segoe UI"/>
          <w:color w:val="auto"/>
        </w:rPr>
        <w:br/>
      </w:r>
      <w:r w:rsidRPr="00764A33">
        <w:rPr>
          <w:rFonts w:ascii="Segoe UI" w:hAnsi="Segoe UI" w:cs="Segoe UI"/>
          <w:color w:val="auto"/>
        </w:rPr>
        <w:t>Participant</w:t>
      </w:r>
    </w:p>
    <w:p w14:paraId="777023F1" w14:textId="77777777" w:rsidR="00764A33" w:rsidRPr="003166FC" w:rsidRDefault="00764A33" w:rsidP="00764A33">
      <w:pPr>
        <w:pStyle w:val="Heading3"/>
      </w:pPr>
      <w:r w:rsidRPr="003166FC">
        <w:lastRenderedPageBreak/>
        <w:t xml:space="preserve">Trust in Ambulance Victoria’s leadership and </w:t>
      </w:r>
      <w:r>
        <w:t>its</w:t>
      </w:r>
      <w:r w:rsidRPr="003166FC">
        <w:t xml:space="preserve"> ability to deliver the reforms is hampered by the lack of visible improvements in flexibility</w:t>
      </w:r>
    </w:p>
    <w:p w14:paraId="241FD55B" w14:textId="77777777" w:rsidR="00764A33" w:rsidRPr="00A376F5" w:rsidRDefault="00764A33" w:rsidP="00764A3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The Commission</w:t>
      </w:r>
      <w:r w:rsidRPr="00A376F5">
        <w:rPr>
          <w:rFonts w:ascii="Segoe UI" w:eastAsiaTheme="majorEastAsia" w:hAnsi="Segoe UI" w:cs="Segoe UI"/>
          <w:sz w:val="22"/>
          <w:szCs w:val="22"/>
        </w:rPr>
        <w:t xml:space="preserve"> </w:t>
      </w:r>
      <w:r w:rsidRPr="00B0213F">
        <w:rPr>
          <w:rFonts w:ascii="Segoe UI" w:eastAsiaTheme="majorEastAsia" w:hAnsi="Segoe UI" w:cs="Segoe UI"/>
          <w:sz w:val="22"/>
          <w:szCs w:val="22"/>
        </w:rPr>
        <w:t xml:space="preserve">heard that </w:t>
      </w:r>
      <w:r w:rsidRPr="00A376F5">
        <w:rPr>
          <w:rFonts w:ascii="Segoe UI" w:eastAsiaTheme="majorEastAsia" w:hAnsi="Segoe UI" w:cs="Segoe UI"/>
          <w:sz w:val="22"/>
          <w:szCs w:val="22"/>
        </w:rPr>
        <w:t xml:space="preserve">operational staff in non-leadership roles </w:t>
      </w:r>
      <w:r>
        <w:rPr>
          <w:rFonts w:ascii="Segoe UI" w:eastAsiaTheme="majorEastAsia" w:hAnsi="Segoe UI" w:cs="Segoe UI"/>
          <w:sz w:val="22"/>
          <w:szCs w:val="22"/>
        </w:rPr>
        <w:t>have not felt</w:t>
      </w:r>
      <w:r w:rsidRPr="00A376F5">
        <w:rPr>
          <w:rFonts w:ascii="Segoe UI" w:eastAsiaTheme="majorEastAsia" w:hAnsi="Segoe UI" w:cs="Segoe UI"/>
          <w:sz w:val="22"/>
          <w:szCs w:val="22"/>
        </w:rPr>
        <w:t xml:space="preserve"> </w:t>
      </w:r>
      <w:r>
        <w:rPr>
          <w:rFonts w:ascii="Segoe UI" w:eastAsiaTheme="majorEastAsia" w:hAnsi="Segoe UI" w:cs="Segoe UI"/>
          <w:sz w:val="22"/>
          <w:szCs w:val="22"/>
        </w:rPr>
        <w:t xml:space="preserve">the </w:t>
      </w:r>
      <w:r w:rsidRPr="00A376F5">
        <w:rPr>
          <w:rFonts w:ascii="Segoe UI" w:eastAsiaTheme="majorEastAsia" w:hAnsi="Segoe UI" w:cs="Segoe UI"/>
          <w:sz w:val="22"/>
          <w:szCs w:val="22"/>
        </w:rPr>
        <w:t>impact</w:t>
      </w:r>
      <w:r>
        <w:rPr>
          <w:rFonts w:ascii="Segoe UI" w:eastAsiaTheme="majorEastAsia" w:hAnsi="Segoe UI" w:cs="Segoe UI"/>
          <w:sz w:val="22"/>
          <w:szCs w:val="22"/>
        </w:rPr>
        <w:t>s</w:t>
      </w:r>
      <w:r w:rsidRPr="00A376F5">
        <w:rPr>
          <w:rFonts w:ascii="Segoe UI" w:eastAsiaTheme="majorEastAsia" w:hAnsi="Segoe UI" w:cs="Segoe UI"/>
          <w:sz w:val="22"/>
          <w:szCs w:val="22"/>
        </w:rPr>
        <w:t xml:space="preserve"> of work to improve workplace flexibility in their everyday lives. </w:t>
      </w:r>
      <w:r>
        <w:rPr>
          <w:rFonts w:ascii="Segoe UI" w:eastAsiaTheme="majorEastAsia" w:hAnsi="Segoe UI" w:cs="Segoe UI"/>
          <w:sz w:val="22"/>
          <w:szCs w:val="22"/>
        </w:rPr>
        <w:t>The perceived</w:t>
      </w:r>
      <w:r w:rsidRPr="00A376F5">
        <w:rPr>
          <w:rFonts w:ascii="Segoe UI" w:eastAsiaTheme="majorEastAsia" w:hAnsi="Segoe UI" w:cs="Segoe UI"/>
          <w:sz w:val="22"/>
          <w:szCs w:val="22"/>
        </w:rPr>
        <w:t xml:space="preserve"> lack of progress in this area is seen to contribute to reduc</w:t>
      </w:r>
      <w:r>
        <w:rPr>
          <w:rFonts w:ascii="Segoe UI" w:eastAsiaTheme="majorEastAsia" w:hAnsi="Segoe UI" w:cs="Segoe UI"/>
          <w:sz w:val="22"/>
          <w:szCs w:val="22"/>
        </w:rPr>
        <w:t>ed</w:t>
      </w:r>
      <w:r w:rsidRPr="00A376F5">
        <w:rPr>
          <w:rFonts w:ascii="Segoe UI" w:eastAsiaTheme="majorEastAsia" w:hAnsi="Segoe UI" w:cs="Segoe UI"/>
          <w:sz w:val="22"/>
          <w:szCs w:val="22"/>
        </w:rPr>
        <w:t xml:space="preserve"> trust in leadership and </w:t>
      </w:r>
      <w:r>
        <w:rPr>
          <w:rFonts w:ascii="Segoe UI" w:eastAsiaTheme="majorEastAsia" w:hAnsi="Segoe UI" w:cs="Segoe UI"/>
          <w:sz w:val="22"/>
          <w:szCs w:val="22"/>
        </w:rPr>
        <w:t>its</w:t>
      </w:r>
      <w:r w:rsidRPr="00A376F5">
        <w:rPr>
          <w:rFonts w:ascii="Segoe UI" w:eastAsiaTheme="majorEastAsia" w:hAnsi="Segoe UI" w:cs="Segoe UI"/>
          <w:sz w:val="22"/>
          <w:szCs w:val="22"/>
        </w:rPr>
        <w:t xml:space="preserve"> ability to deliver these changes to the workforce. </w:t>
      </w:r>
    </w:p>
    <w:p w14:paraId="7448C0D3" w14:textId="77777777" w:rsidR="00764A33" w:rsidRPr="00A376F5" w:rsidRDefault="00764A33" w:rsidP="00764A3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 xml:space="preserve">The Commission considers that </w:t>
      </w:r>
      <w:r w:rsidRPr="00A376F5">
        <w:rPr>
          <w:rFonts w:ascii="Segoe UI" w:eastAsiaTheme="majorEastAsia" w:hAnsi="Segoe UI" w:cs="Segoe UI"/>
          <w:sz w:val="22"/>
          <w:szCs w:val="22"/>
        </w:rPr>
        <w:t>Ambulance Victoria’s lack of progress to</w:t>
      </w:r>
      <w:r>
        <w:rPr>
          <w:rFonts w:ascii="Segoe UI" w:eastAsiaTheme="majorEastAsia" w:hAnsi="Segoe UI" w:cs="Segoe UI"/>
          <w:sz w:val="22"/>
          <w:szCs w:val="22"/>
        </w:rPr>
        <w:t>wards</w:t>
      </w:r>
      <w:r w:rsidRPr="00A376F5">
        <w:rPr>
          <w:rFonts w:ascii="Segoe UI" w:eastAsiaTheme="majorEastAsia" w:hAnsi="Segoe UI" w:cs="Segoe UI"/>
          <w:sz w:val="22"/>
          <w:szCs w:val="22"/>
        </w:rPr>
        <w:t xml:space="preserve"> implementing </w:t>
      </w:r>
      <w:r>
        <w:rPr>
          <w:rFonts w:ascii="Segoe UI" w:eastAsiaTheme="majorEastAsia" w:hAnsi="Segoe UI" w:cs="Segoe UI"/>
          <w:sz w:val="22"/>
          <w:szCs w:val="22"/>
        </w:rPr>
        <w:t>a flexible work</w:t>
      </w:r>
      <w:r w:rsidRPr="00A376F5">
        <w:rPr>
          <w:rFonts w:ascii="Segoe UI" w:eastAsiaTheme="majorEastAsia" w:hAnsi="Segoe UI" w:cs="Segoe UI"/>
          <w:sz w:val="22"/>
          <w:szCs w:val="22"/>
        </w:rPr>
        <w:t xml:space="preserve"> approach </w:t>
      </w:r>
      <w:r>
        <w:rPr>
          <w:rFonts w:ascii="Segoe UI" w:eastAsiaTheme="majorEastAsia" w:hAnsi="Segoe UI" w:cs="Segoe UI"/>
          <w:sz w:val="22"/>
          <w:szCs w:val="22"/>
        </w:rPr>
        <w:t>is likely to be</w:t>
      </w:r>
      <w:r w:rsidRPr="00A376F5">
        <w:rPr>
          <w:rFonts w:ascii="Segoe UI" w:eastAsiaTheme="majorEastAsia" w:hAnsi="Segoe UI" w:cs="Segoe UI"/>
          <w:sz w:val="22"/>
          <w:szCs w:val="22"/>
        </w:rPr>
        <w:t xml:space="preserve"> reinforcing the persistent attitudinal barrier within </w:t>
      </w:r>
      <w:r>
        <w:rPr>
          <w:rFonts w:ascii="Segoe UI" w:eastAsiaTheme="majorEastAsia" w:hAnsi="Segoe UI" w:cs="Segoe UI"/>
          <w:sz w:val="22"/>
          <w:szCs w:val="22"/>
        </w:rPr>
        <w:t xml:space="preserve">the organisation </w:t>
      </w:r>
      <w:r w:rsidRPr="00A376F5">
        <w:rPr>
          <w:rFonts w:ascii="Segoe UI" w:eastAsiaTheme="majorEastAsia" w:hAnsi="Segoe UI" w:cs="Segoe UI"/>
          <w:sz w:val="22"/>
          <w:szCs w:val="22"/>
        </w:rPr>
        <w:t xml:space="preserve">that 24/7 emergency services are fundamentally incompatible with flexibility. </w:t>
      </w:r>
    </w:p>
    <w:p w14:paraId="58BF1708" w14:textId="49D349A8" w:rsidR="00764A33" w:rsidRPr="00764A33" w:rsidRDefault="00764A33" w:rsidP="00764A33">
      <w:pPr>
        <w:pStyle w:val="Quote"/>
        <w:rPr>
          <w:rFonts w:ascii="Segoe UI" w:eastAsia="Segoe UI" w:hAnsi="Segoe UI" w:cs="Segoe UI"/>
          <w:color w:val="auto"/>
        </w:rPr>
      </w:pPr>
      <w:r w:rsidRPr="00764A33">
        <w:rPr>
          <w:rFonts w:ascii="Segoe UI" w:eastAsia="Segoe UI" w:hAnsi="Segoe UI" w:cs="Segoe UI"/>
          <w:color w:val="auto"/>
        </w:rPr>
        <w:t xml:space="preserve">What </w:t>
      </w:r>
      <w:proofErr w:type="gramStart"/>
      <w:r w:rsidRPr="00764A33">
        <w:rPr>
          <w:rFonts w:ascii="Segoe UI" w:eastAsia="Segoe UI" w:hAnsi="Segoe UI" w:cs="Segoe UI"/>
          <w:color w:val="auto"/>
        </w:rPr>
        <w:t>are</w:t>
      </w:r>
      <w:proofErr w:type="gramEnd"/>
      <w:r w:rsidRPr="00764A33">
        <w:rPr>
          <w:rFonts w:ascii="Segoe UI" w:eastAsia="Segoe UI" w:hAnsi="Segoe UI" w:cs="Segoe UI"/>
          <w:color w:val="auto"/>
        </w:rPr>
        <w:t xml:space="preserve"> those kind of system-related barriers or process-related barriers that we actually need to address in order to ensure that people who want flexible arrangements can have flexible arrangements, recognising that we are 24/7 service and we do need to actually fulfil the needs of our community as well?</w:t>
      </w:r>
      <w:r>
        <w:rPr>
          <w:rFonts w:ascii="Segoe UI" w:eastAsia="Segoe UI" w:hAnsi="Segoe UI" w:cs="Segoe UI"/>
          <w:color w:val="auto"/>
        </w:rPr>
        <w:br/>
      </w:r>
      <w:r w:rsidRPr="00764A33">
        <w:rPr>
          <w:rFonts w:ascii="Segoe UI" w:eastAsia="Segoe UI" w:hAnsi="Segoe UI" w:cs="Segoe UI"/>
          <w:color w:val="auto"/>
        </w:rPr>
        <w:t>Participant</w:t>
      </w:r>
    </w:p>
    <w:p w14:paraId="35E37229" w14:textId="77777777" w:rsidR="00764A33" w:rsidRPr="00F7259E" w:rsidRDefault="00764A33" w:rsidP="00764A33">
      <w:pPr>
        <w:pStyle w:val="paragraph"/>
        <w:spacing w:before="0" w:beforeAutospacing="0" w:line="276" w:lineRule="auto"/>
        <w:rPr>
          <w:rFonts w:ascii="Segoe UI" w:eastAsiaTheme="majorEastAsia" w:hAnsi="Segoe UI" w:cs="Segoe UI"/>
          <w:sz w:val="22"/>
          <w:szCs w:val="22"/>
        </w:rPr>
      </w:pPr>
      <w:r w:rsidRPr="00A376F5">
        <w:rPr>
          <w:rFonts w:ascii="Segoe UI" w:eastAsiaTheme="majorEastAsia" w:hAnsi="Segoe UI" w:cs="Segoe UI"/>
          <w:sz w:val="22"/>
          <w:szCs w:val="22"/>
        </w:rPr>
        <w:t xml:space="preserve">This </w:t>
      </w:r>
      <w:proofErr w:type="gramStart"/>
      <w:r w:rsidRPr="00A376F5">
        <w:rPr>
          <w:rFonts w:ascii="Segoe UI" w:eastAsiaTheme="majorEastAsia" w:hAnsi="Segoe UI" w:cs="Segoe UI"/>
          <w:sz w:val="22"/>
          <w:szCs w:val="22"/>
        </w:rPr>
        <w:t>is in contrast to</w:t>
      </w:r>
      <w:proofErr w:type="gramEnd"/>
      <w:r w:rsidRPr="00A376F5">
        <w:rPr>
          <w:rFonts w:ascii="Segoe UI" w:eastAsiaTheme="majorEastAsia" w:hAnsi="Segoe UI" w:cs="Segoe UI"/>
          <w:sz w:val="22"/>
          <w:szCs w:val="22"/>
        </w:rPr>
        <w:t xml:space="preserve"> other health and emergency services </w:t>
      </w:r>
      <w:r>
        <w:rPr>
          <w:rFonts w:ascii="Segoe UI" w:eastAsiaTheme="majorEastAsia" w:hAnsi="Segoe UI" w:cs="Segoe UI"/>
          <w:sz w:val="22"/>
          <w:szCs w:val="22"/>
        </w:rPr>
        <w:t>that</w:t>
      </w:r>
      <w:r w:rsidRPr="00A376F5">
        <w:rPr>
          <w:rFonts w:ascii="Segoe UI" w:eastAsiaTheme="majorEastAsia" w:hAnsi="Segoe UI" w:cs="Segoe UI"/>
          <w:sz w:val="22"/>
          <w:szCs w:val="22"/>
        </w:rPr>
        <w:t xml:space="preserve"> have successfully introduced innovative approaches to flexible roster management. </w:t>
      </w:r>
      <w:r>
        <w:rPr>
          <w:rFonts w:ascii="Segoe UI" w:eastAsiaTheme="majorEastAsia" w:hAnsi="Segoe UI" w:cs="Segoe UI"/>
          <w:sz w:val="22"/>
          <w:szCs w:val="22"/>
        </w:rPr>
        <w:t xml:space="preserve">See the </w:t>
      </w:r>
      <w:hyperlink r:id="rId10" w:history="1">
        <w:r w:rsidRPr="00764A33">
          <w:rPr>
            <w:rStyle w:val="Hyperlink"/>
            <w:rFonts w:ascii="Segoe UI" w:eastAsiaTheme="majorEastAsia" w:hAnsi="Segoe UI" w:cs="Segoe UI"/>
            <w:color w:val="0000FF"/>
            <w:sz w:val="22"/>
            <w:szCs w:val="20"/>
          </w:rPr>
          <w:t>Victorian Rostering Toolkit</w:t>
        </w:r>
      </w:hyperlink>
      <w:r w:rsidRPr="00764A33">
        <w:rPr>
          <w:rFonts w:ascii="Segoe UI" w:eastAsiaTheme="majorEastAsia" w:hAnsi="Segoe UI" w:cs="Segoe UI"/>
          <w:color w:val="0000FF"/>
          <w:sz w:val="20"/>
          <w:szCs w:val="20"/>
        </w:rPr>
        <w:t xml:space="preserve"> </w:t>
      </w:r>
      <w:r>
        <w:rPr>
          <w:rFonts w:ascii="Segoe UI" w:eastAsiaTheme="majorEastAsia" w:hAnsi="Segoe UI" w:cs="Segoe UI"/>
          <w:sz w:val="22"/>
          <w:szCs w:val="22"/>
        </w:rPr>
        <w:t xml:space="preserve">developed by Safer Care Victoria alongside the Australian Nursing &amp; Midwifery Federation, the Royal Melbourne Hospital, Western Health and Echuca Regional Health. </w:t>
      </w:r>
    </w:p>
    <w:p w14:paraId="51D5E6AD"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D88DB" w14:textId="77777777" w:rsidR="00764A33" w:rsidRDefault="00764A33" w:rsidP="00764A33">
      <w:pPr>
        <w:spacing w:after="0" w:line="240" w:lineRule="auto"/>
      </w:pPr>
      <w:r>
        <w:separator/>
      </w:r>
    </w:p>
  </w:endnote>
  <w:endnote w:type="continuationSeparator" w:id="0">
    <w:p w14:paraId="0CA7F500" w14:textId="77777777" w:rsidR="00764A33" w:rsidRDefault="00764A33" w:rsidP="0076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F39C1" w14:textId="77777777" w:rsidR="00764A33" w:rsidRDefault="00764A33" w:rsidP="00764A33">
      <w:pPr>
        <w:spacing w:after="0" w:line="240" w:lineRule="auto"/>
      </w:pPr>
      <w:r>
        <w:separator/>
      </w:r>
    </w:p>
  </w:footnote>
  <w:footnote w:type="continuationSeparator" w:id="0">
    <w:p w14:paraId="53E4B129" w14:textId="77777777" w:rsidR="00764A33" w:rsidRDefault="00764A33" w:rsidP="00764A33">
      <w:pPr>
        <w:spacing w:after="0" w:line="240" w:lineRule="auto"/>
      </w:pPr>
      <w:r>
        <w:continuationSeparator/>
      </w:r>
    </w:p>
  </w:footnote>
  <w:footnote w:id="1">
    <w:p w14:paraId="719F6A14" w14:textId="77777777" w:rsidR="00764A33" w:rsidRPr="003446F4" w:rsidRDefault="00764A33" w:rsidP="00764A33">
      <w:pPr>
        <w:pStyle w:val="FootnoteText"/>
        <w:rPr>
          <w:rFonts w:cs="Segoe UI"/>
        </w:rPr>
      </w:pPr>
      <w:r w:rsidRPr="003446F4">
        <w:rPr>
          <w:rStyle w:val="FootnoteReference"/>
          <w:rFonts w:cs="Segoe UI"/>
        </w:rPr>
        <w:footnoteRef/>
      </w:r>
      <w:r w:rsidRPr="003446F4">
        <w:rPr>
          <w:rFonts w:cs="Segoe UI"/>
        </w:rPr>
        <w:t xml:space="preserve"> E Jeffrey Hill et al</w:t>
      </w:r>
      <w:r>
        <w:rPr>
          <w:rFonts w:cs="Segoe UI"/>
        </w:rPr>
        <w:t>.</w:t>
      </w:r>
      <w:r w:rsidRPr="003446F4">
        <w:rPr>
          <w:rFonts w:cs="Segoe UI"/>
        </w:rPr>
        <w:t xml:space="preserve">, </w:t>
      </w:r>
      <w:r>
        <w:rPr>
          <w:rFonts w:cs="Segoe UI"/>
        </w:rPr>
        <w:t>‘</w:t>
      </w:r>
      <w:r w:rsidRPr="003446F4">
        <w:rPr>
          <w:rFonts w:cs="Segoe UI"/>
        </w:rPr>
        <w:t xml:space="preserve">Defining and </w:t>
      </w:r>
      <w:r>
        <w:rPr>
          <w:rFonts w:cs="Segoe UI"/>
        </w:rPr>
        <w:t>c</w:t>
      </w:r>
      <w:r w:rsidRPr="003446F4">
        <w:rPr>
          <w:rFonts w:cs="Segoe UI"/>
        </w:rPr>
        <w:t xml:space="preserve">onceptualizing </w:t>
      </w:r>
      <w:r>
        <w:rPr>
          <w:rFonts w:cs="Segoe UI"/>
        </w:rPr>
        <w:t>w</w:t>
      </w:r>
      <w:r w:rsidRPr="003446F4">
        <w:rPr>
          <w:rFonts w:cs="Segoe UI"/>
        </w:rPr>
        <w:t xml:space="preserve">orkplace </w:t>
      </w:r>
      <w:r>
        <w:rPr>
          <w:rFonts w:cs="Segoe UI"/>
        </w:rPr>
        <w:t>f</w:t>
      </w:r>
      <w:r w:rsidRPr="003446F4">
        <w:rPr>
          <w:rFonts w:cs="Segoe UI"/>
        </w:rPr>
        <w:t>lexibility</w:t>
      </w:r>
      <w:r>
        <w:rPr>
          <w:rFonts w:cs="Segoe UI"/>
        </w:rPr>
        <w:t>’</w:t>
      </w:r>
      <w:r w:rsidRPr="003446F4">
        <w:rPr>
          <w:rFonts w:cs="Segoe UI"/>
        </w:rPr>
        <w:t xml:space="preserve"> (2008) </w:t>
      </w:r>
      <w:r w:rsidRPr="003446F4">
        <w:rPr>
          <w:rFonts w:cs="Segoe UI"/>
          <w:i/>
          <w:iCs/>
        </w:rPr>
        <w:t>Community Work &amp; Family</w:t>
      </w:r>
      <w:r w:rsidRPr="003446F4">
        <w:rPr>
          <w:rFonts w:cs="Segoe UI"/>
        </w:rPr>
        <w:t xml:space="preserve"> 11(2) 149 &lt;https://doi.org/10.1080/13668800802024678&gt;.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33"/>
    <w:rsid w:val="001277B4"/>
    <w:rsid w:val="001F5514"/>
    <w:rsid w:val="006D056D"/>
    <w:rsid w:val="00764A33"/>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7E8C"/>
  <w15:chartTrackingRefBased/>
  <w15:docId w15:val="{2EE5722A-14D6-4CEF-8609-B5245FF0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4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64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64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64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4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A33"/>
    <w:rPr>
      <w:rFonts w:eastAsiaTheme="majorEastAsia" w:cstheme="majorBidi"/>
      <w:color w:val="272727" w:themeColor="text1" w:themeTint="D8"/>
    </w:rPr>
  </w:style>
  <w:style w:type="paragraph" w:styleId="Title">
    <w:name w:val="Title"/>
    <w:basedOn w:val="Normal"/>
    <w:next w:val="Normal"/>
    <w:link w:val="TitleChar"/>
    <w:uiPriority w:val="10"/>
    <w:qFormat/>
    <w:rsid w:val="00764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A33"/>
    <w:pPr>
      <w:spacing w:before="160"/>
      <w:jc w:val="center"/>
    </w:pPr>
    <w:rPr>
      <w:i/>
      <w:iCs/>
      <w:color w:val="404040" w:themeColor="text1" w:themeTint="BF"/>
    </w:rPr>
  </w:style>
  <w:style w:type="character" w:customStyle="1" w:styleId="QuoteChar">
    <w:name w:val="Quote Char"/>
    <w:basedOn w:val="DefaultParagraphFont"/>
    <w:link w:val="Quote"/>
    <w:uiPriority w:val="29"/>
    <w:rsid w:val="00764A33"/>
    <w:rPr>
      <w:i/>
      <w:iCs/>
      <w:color w:val="404040" w:themeColor="text1" w:themeTint="BF"/>
    </w:rPr>
  </w:style>
  <w:style w:type="paragraph" w:styleId="ListParagraph">
    <w:name w:val="List Paragraph"/>
    <w:aliases w:val="Bullet number"/>
    <w:basedOn w:val="Normal"/>
    <w:uiPriority w:val="99"/>
    <w:qFormat/>
    <w:rsid w:val="00764A33"/>
    <w:pPr>
      <w:ind w:left="720"/>
      <w:contextualSpacing/>
    </w:pPr>
  </w:style>
  <w:style w:type="character" w:styleId="IntenseEmphasis">
    <w:name w:val="Intense Emphasis"/>
    <w:basedOn w:val="DefaultParagraphFont"/>
    <w:uiPriority w:val="21"/>
    <w:qFormat/>
    <w:rsid w:val="00764A33"/>
    <w:rPr>
      <w:i/>
      <w:iCs/>
      <w:color w:val="0F4761" w:themeColor="accent1" w:themeShade="BF"/>
    </w:rPr>
  </w:style>
  <w:style w:type="paragraph" w:styleId="IntenseQuote">
    <w:name w:val="Intense Quote"/>
    <w:basedOn w:val="Normal"/>
    <w:next w:val="Normal"/>
    <w:link w:val="IntenseQuoteChar"/>
    <w:uiPriority w:val="30"/>
    <w:qFormat/>
    <w:rsid w:val="00764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A33"/>
    <w:rPr>
      <w:i/>
      <w:iCs/>
      <w:color w:val="0F4761" w:themeColor="accent1" w:themeShade="BF"/>
    </w:rPr>
  </w:style>
  <w:style w:type="character" w:styleId="IntenseReference">
    <w:name w:val="Intense Reference"/>
    <w:basedOn w:val="DefaultParagraphFont"/>
    <w:uiPriority w:val="32"/>
    <w:qFormat/>
    <w:rsid w:val="00764A33"/>
    <w:rPr>
      <w:b/>
      <w:bCs/>
      <w:smallCaps/>
      <w:color w:val="0F4761" w:themeColor="accent1" w:themeShade="BF"/>
      <w:spacing w:val="5"/>
    </w:rPr>
  </w:style>
  <w:style w:type="character" w:styleId="Hyperlink">
    <w:name w:val="Hyperlink"/>
    <w:aliases w:val="VEOHRC_Hyperlink"/>
    <w:basedOn w:val="DefaultParagraphFont"/>
    <w:uiPriority w:val="99"/>
    <w:unhideWhenUsed/>
    <w:rsid w:val="00764A33"/>
    <w:rPr>
      <w:color w:val="467886" w:themeColor="hyperlink"/>
      <w:u w:val="single"/>
    </w:rPr>
  </w:style>
  <w:style w:type="paragraph" w:styleId="FootnoteText">
    <w:name w:val="footnote text"/>
    <w:basedOn w:val="Normal"/>
    <w:link w:val="FootnoteTextChar"/>
    <w:uiPriority w:val="99"/>
    <w:unhideWhenUsed/>
    <w:qFormat/>
    <w:rsid w:val="00764A33"/>
    <w:pPr>
      <w:spacing w:after="0" w:line="240" w:lineRule="auto"/>
    </w:pPr>
    <w:rPr>
      <w:sz w:val="20"/>
      <w:szCs w:val="20"/>
    </w:rPr>
  </w:style>
  <w:style w:type="character" w:customStyle="1" w:styleId="FootnoteTextChar">
    <w:name w:val="Footnote Text Char"/>
    <w:basedOn w:val="DefaultParagraphFont"/>
    <w:link w:val="FootnoteText"/>
    <w:uiPriority w:val="99"/>
    <w:rsid w:val="00764A33"/>
    <w:rPr>
      <w:sz w:val="20"/>
      <w:szCs w:val="20"/>
    </w:rPr>
  </w:style>
  <w:style w:type="character" w:styleId="FootnoteReference">
    <w:name w:val="footnote reference"/>
    <w:basedOn w:val="DefaultParagraphFont"/>
    <w:uiPriority w:val="99"/>
    <w:semiHidden/>
    <w:unhideWhenUsed/>
    <w:qFormat/>
    <w:rsid w:val="00764A33"/>
    <w:rPr>
      <w:vertAlign w:val="superscript"/>
    </w:rPr>
  </w:style>
  <w:style w:type="paragraph" w:styleId="BodyText">
    <w:name w:val="Body Text"/>
    <w:basedOn w:val="Normal"/>
    <w:link w:val="BodyTextChar"/>
    <w:qFormat/>
    <w:rsid w:val="00764A33"/>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764A33"/>
    <w:rPr>
      <w:rFonts w:ascii="Arial" w:eastAsiaTheme="majorEastAsia" w:hAnsi="Arial" w:cs="Arial"/>
      <w:kern w:val="0"/>
      <w:szCs w:val="20"/>
      <w:lang w:eastAsia="en-AU"/>
      <w14:ligatures w14:val="none"/>
    </w:rPr>
  </w:style>
  <w:style w:type="paragraph" w:customStyle="1" w:styleId="paragraph">
    <w:name w:val="paragraph"/>
    <w:basedOn w:val="Normal"/>
    <w:rsid w:val="00764A3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afercare.vic.gov.au/sites/default/files/2023-12/final_-_victorian_rostering_toolki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0C977D71-9FB7-4866-B3F4-7DE5A5B2C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AA9EC-55A4-4870-93BC-28967B951CBE}">
  <ds:schemaRefs>
    <ds:schemaRef ds:uri="http://schemas.microsoft.com/sharepoint/v3/contenttype/forms"/>
  </ds:schemaRefs>
</ds:datastoreItem>
</file>

<file path=customXml/itemProps3.xml><?xml version="1.0" encoding="utf-8"?>
<ds:datastoreItem xmlns:ds="http://schemas.openxmlformats.org/officeDocument/2006/customXml" ds:itemID="{6AC1BE2E-8113-49A1-B900-F0BBA5ECE55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ed8c2-7c4f-476e-aabf-c40a33b19a18"/>
    <ds:schemaRef ds:uri="http://purl.org/dc/elements/1.1/"/>
    <ds:schemaRef ds:uri="c797cc59-9b55-482b-909b-1e567b47f3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2025-01-08T00:11:00Z</dcterms:created>
  <dcterms:modified xsi:type="dcterms:W3CDTF">2025-01-08T00:32:00Z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